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rFonts w:ascii="Arial" w:cs="Arial" w:eastAsia="Arial" w:hAnsi="Arial"/>
          <w:b/>
          <w:bCs/>
          <w:color w:val="1E2761"/>
          <w:sz w:val="96"/>
          <w:szCs w:val="96"/>
        </w:rPr>
        <w:t xml:space="preserve">AIQ v2</w:t>
      </w:r>
    </w:p>
    <w:p>
      <w:pPr>
        <w:spacing w:after="240"/>
        <w:jc w:val="center"/>
      </w:pPr>
      <w:r>
        <w:rPr>
          <w:rFonts w:ascii="Arial" w:cs="Arial" w:eastAsia="Arial" w:hAnsi="Arial"/>
          <w:color w:val="1A1A1A"/>
          <w:sz w:val="32"/>
          <w:szCs w:val="32"/>
        </w:rPr>
        <w:t xml:space="preserve">Methodology, Regrade-Stability &amp; Flexible Capstone</w:t>
      </w:r>
    </w:p>
    <w:p>
      <w:pPr>
        <w:spacing w:after="120"/>
        <w:jc w:val="center"/>
      </w:pPr>
      <w:r>
        <w:rPr>
          <w:rFonts w:ascii="Arial" w:cs="Arial" w:eastAsia="Arial" w:hAnsi="Arial"/>
          <w:color w:val="555555"/>
          <w:sz w:val="24"/>
          <w:szCs w:val="24"/>
        </w:rPr>
        <w:t xml:space="preserve">Version 2.0.0</w:t>
      </w:r>
    </w:p>
    <w:p>
      <w:pPr>
        <w:spacing w:after="120"/>
        <w:jc w:val="center"/>
      </w:pPr>
      <w:r>
        <w:rPr>
          <w:rFonts w:ascii="Arial" w:cs="Arial" w:eastAsia="Arial" w:hAnsi="Arial"/>
          <w:i/>
          <w:iCs/>
          <w:color w:val="555555"/>
          <w:sz w:val="22"/>
          <w:szCs w:val="22"/>
        </w:rPr>
        <w:t xml:space="preserve">Status: Canonical. Supersedes the v1 AJIR taxonomy.</w:t>
      </w:r>
    </w:p>
    <w:p>
      <w:pPr>
        <w:spacing w:after="1200"/>
        <w:jc w:val="center"/>
      </w:pPr>
      <w:r>
        <w:rPr>
          <w:rFonts w:ascii="Arial" w:cs="Arial" w:eastAsia="Arial" w:hAnsi="Arial"/>
          <w:color w:val="555555"/>
          <w:sz w:val="22"/>
          <w:szCs w:val="22"/>
        </w:rPr>
        <w:t xml:space="preserve">LWL Platform team — Last updated 2026-05-10</w:t>
      </w:r>
    </w:p>
    <w:p>
      <w:pPr>
        <w:pStyle w:val="Heading1"/>
        <w:pageBreakBefore/>
        <w:spacing w:after="180" w:before="360"/>
      </w:pPr>
      <w:r>
        <w:rPr>
          <w:rFonts w:ascii="Arial" w:cs="Arial" w:eastAsia="Arial" w:hAnsi="Arial"/>
          <w:b/>
          <w:bCs/>
          <w:color w:val="1E2761"/>
          <w:sz w:val="36"/>
          <w:szCs w:val="36"/>
        </w:rPr>
        <w:t xml:space="preserve">1. Why AIQ exists</w:t>
      </w:r>
    </w:p>
    <w:p>
      <w:pPr>
        <w:spacing w:after="120" w:line="300"/>
      </w:pPr>
      <w:r>
        <w:rPr>
          <w:rFonts w:ascii="Arial" w:cs="Arial" w:eastAsia="Arial" w:hAnsi="Arial"/>
          <w:color w:val="1A1A1A"/>
          <w:sz w:val="22"/>
          <w:szCs w:val="22"/>
        </w:rPr>
        <w:t xml:space="preserve">In the AI era, output is cheap. Anyone can ship a polished prototype in a weekend. What is scarce — and what schools, sponsors, and employers actually need to identify — is judgment: the ability to choose the right problem, use AI with discernment, ship something real, and reflect honestly on what happened.</w:t>
      </w:r>
    </w:p>
    <w:p>
      <w:pPr>
        <w:spacing w:after="120" w:line="300"/>
      </w:pPr>
      <w:r>
        <w:rPr>
          <w:rFonts w:ascii="Arial" w:cs="Arial" w:eastAsia="Arial" w:hAnsi="Arial"/>
          <w:color w:val="1A1A1A"/>
          <w:sz w:val="22"/>
          <w:szCs w:val="22"/>
        </w:rPr>
        <w:t xml:space="preserve">AIQ is a portable, defensible index of that judgment, scored against artifacts (not opinions), versioned (so it is stable over time), and earned project-by-project (so it cannot be faked with a single lucky build). It exists so a Year-11 student in a UAE classroom and a self-taught maker in Lagos can both walk into the same sponsor conversation with comparable, trusted evidence of who they are as builders.</w:t>
      </w:r>
    </w:p>
    <w:p>
      <w:pPr>
        <w:pStyle w:val="Heading1"/>
        <w:pageBreakBefore/>
        <w:spacing w:after="180" w:before="360"/>
      </w:pPr>
      <w:r>
        <w:rPr>
          <w:rFonts w:ascii="Arial" w:cs="Arial" w:eastAsia="Arial" w:hAnsi="Arial"/>
          <w:b/>
          <w:bCs/>
          <w:color w:val="1E2761"/>
          <w:sz w:val="36"/>
          <w:szCs w:val="36"/>
        </w:rPr>
        <w:t xml:space="preserve">2. The 5 Dimensions</w:t>
      </w:r>
    </w:p>
    <w:p>
      <w:pPr>
        <w:spacing w:after="120" w:line="300"/>
      </w:pPr>
      <w:r>
        <w:rPr>
          <w:rFonts w:ascii="Arial" w:cs="Arial" w:eastAsia="Arial" w:hAnsi="Arial"/>
          <w:color w:val="1A1A1A"/>
          <w:sz w:val="22"/>
          <w:szCs w:val="22"/>
        </w:rPr>
        <w:t xml:space="preserve">Every project is scored on five dimensions. Each dimension is scored 0–20. Total raw score is 0–100. For each dimension below: definition, four anchor levels, council evidence, and common failure modes.</w:t>
      </w:r>
    </w:p>
    <w:p>
      <w:pPr>
        <w:pStyle w:val="Heading2"/>
        <w:spacing w:after="120" w:before="280"/>
      </w:pPr>
      <w:r>
        <w:rPr>
          <w:rFonts w:ascii="Arial" w:cs="Arial" w:eastAsia="Arial" w:hAnsi="Arial"/>
          <w:b/>
          <w:bCs/>
          <w:color w:val="1A1A1A"/>
          <w:sz w:val="28"/>
          <w:szCs w:val="28"/>
        </w:rPr>
        <w:t xml:space="preserve">2.1 Artifact Integrity (0–20)</w:t>
      </w:r>
    </w:p>
    <w:p>
      <w:pPr>
        <w:spacing w:after="120" w:line="300"/>
      </w:pPr>
      <w:r>
        <w:rPr>
          <w:rFonts w:ascii="Arial" w:cs="Arial" w:eastAsia="Arial" w:hAnsi="Arial"/>
          <w:i/>
          <w:iCs/>
          <w:color w:val="555555"/>
          <w:sz w:val="22"/>
          <w:szCs w:val="22"/>
        </w:rPr>
        <w:t xml:space="preserve">Does it exist? Does it run? Is it complete? Not a deck. Not a wireframe. A thing that works for a real user.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Range</w:t>
            </w:r>
          </w:p>
        </w:tc>
        <w:tc>
          <w:tcPr>
            <w:tcW w:type="dxa" w:w="792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Anchor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Idea-only. Slides, mood boards, or a Figma file. No code, no link, no demo.</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Prototype with significant gaps. Happy-path only, breaks on edge cases, missing core flow.</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11–15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Working build with rough edges. End-to-end flow completes. Visible bugs but the core promise is reachable.</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16–20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Shipped. Public URL or installable build. Survives a stranger trying to break it. README, deploy, real user.</w:t>
            </w:r>
          </w:p>
        </w:tc>
      </w:tr>
    </w:tbl>
    <w:p>
      <w:pPr>
        <w:spacing w:after="120" w:line="300"/>
      </w:pPr>
      <w:r>
        <w:rPr>
          <w:rFonts w:ascii="Arial" w:cs="Arial" w:eastAsia="Arial" w:hAnsi="Arial"/>
          <w:color w:val="1A1A1A"/>
          <w:sz w:val="22"/>
          <w:szCs w:val="22"/>
        </w:rPr>
        <w:t xml:space="preserve">Council evidence (Tech voice leads): live URL crawl, browser console errors, Lighthouse score, README completeness, commit history vs. claimed scope, presence of error states and empty states.</w:t>
      </w:r>
    </w:p>
    <w:p>
      <w:pPr>
        <w:spacing w:after="120" w:line="300"/>
      </w:pPr>
      <w:r>
        <w:rPr>
          <w:rFonts w:ascii="Arial" w:cs="Arial" w:eastAsia="Arial" w:hAnsi="Arial"/>
          <w:color w:val="1A1A1A"/>
          <w:sz w:val="22"/>
          <w:szCs w:val="22"/>
        </w:rPr>
        <w:t xml:space="preserve">Failure modes: Submitting Figma as "the product." Demo video instead of a link. "It works on my machine." Skeleton UI passed off as a build.</w:t>
      </w:r>
    </w:p>
    <w:p>
      <w:pPr>
        <w:pStyle w:val="Heading2"/>
        <w:spacing w:after="120" w:before="280"/>
      </w:pPr>
      <w:r>
        <w:rPr>
          <w:rFonts w:ascii="Arial" w:cs="Arial" w:eastAsia="Arial" w:hAnsi="Arial"/>
          <w:b/>
          <w:bCs/>
          <w:color w:val="1A1A1A"/>
          <w:sz w:val="28"/>
          <w:szCs w:val="28"/>
        </w:rPr>
        <w:t xml:space="preserve">2.2 Problem Precision (0–20)</w:t>
      </w:r>
    </w:p>
    <w:p>
      <w:pPr>
        <w:spacing w:after="120" w:line="300"/>
      </w:pPr>
      <w:r>
        <w:rPr>
          <w:rFonts w:ascii="Arial" w:cs="Arial" w:eastAsia="Arial" w:hAnsi="Arial"/>
          <w:i/>
          <w:iCs/>
          <w:color w:val="555555"/>
          <w:sz w:val="22"/>
          <w:szCs w:val="22"/>
        </w:rPr>
        <w:t xml:space="preserve">One user. One pain. Named specifically.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Range</w:t>
            </w:r>
          </w:p>
        </w:tc>
        <w:tc>
          <w:tcPr>
            <w:tcW w:type="dxa" w:w="792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Anchor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Vague user, vague pain. "Students struggle with motivation." No evidence the builder talked to anyone.</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 user segment named, but pain is generic. "University students need better study tools."</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11–15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Specific user, specific pain, some research. Includes ≥3 user conversations or a clear personal anecdote.</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16–20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Surgical. Quantified frequency, named context, observed (not hypothesized) friction. The builder has shadowed, interviewed, or is the user.</w:t>
            </w:r>
          </w:p>
        </w:tc>
      </w:tr>
    </w:tbl>
    <w:p>
      <w:pPr>
        <w:spacing w:after="120" w:line="300"/>
      </w:pPr>
      <w:r>
        <w:rPr>
          <w:rFonts w:ascii="Arial" w:cs="Arial" w:eastAsia="Arial" w:hAnsi="Arial"/>
          <w:color w:val="1A1A1A"/>
          <w:sz w:val="22"/>
          <w:szCs w:val="22"/>
        </w:rPr>
        <w:t xml:space="preserve">Council evidence (Strategy + Business voices): problem statement specificity, user-research artifacts, named user vs. abstract demographic, evidence the problem informed the build.</w:t>
      </w:r>
    </w:p>
    <w:p>
      <w:pPr>
        <w:spacing w:after="120" w:line="300"/>
      </w:pPr>
      <w:r>
        <w:rPr>
          <w:rFonts w:ascii="Arial" w:cs="Arial" w:eastAsia="Arial" w:hAnsi="Arial"/>
          <w:color w:val="1A1A1A"/>
          <w:sz w:val="22"/>
          <w:szCs w:val="22"/>
        </w:rPr>
        <w:t xml:space="preserve">Failure modes: "Everyone struggles with X." Demographic without context. Retrofitted problem statement that does not match what the build actually does.</w:t>
      </w:r>
    </w:p>
    <w:p>
      <w:pPr>
        <w:pStyle w:val="Heading2"/>
        <w:spacing w:after="120" w:before="280"/>
      </w:pPr>
      <w:r>
        <w:rPr>
          <w:rFonts w:ascii="Arial" w:cs="Arial" w:eastAsia="Arial" w:hAnsi="Arial"/>
          <w:b/>
          <w:bCs/>
          <w:color w:val="1A1A1A"/>
          <w:sz w:val="28"/>
          <w:szCs w:val="28"/>
        </w:rPr>
        <w:t xml:space="preserve">2.3 AI Judgment (0–20)</w:t>
      </w:r>
    </w:p>
    <w:p>
      <w:pPr>
        <w:spacing w:after="120" w:line="300"/>
      </w:pPr>
      <w:r>
        <w:rPr>
          <w:rFonts w:ascii="Arial" w:cs="Arial" w:eastAsia="Arial" w:hAnsi="Arial"/>
          <w:i/>
          <w:iCs/>
          <w:color w:val="555555"/>
          <w:sz w:val="22"/>
          <w:szCs w:val="22"/>
        </w:rPr>
        <w:t xml:space="preserve">Did they use AI with intention — or just prompt and paste? This is the new literacy. Anyone can generate. The score is for discernment.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Range</w:t>
            </w:r>
          </w:p>
        </w:tc>
        <w:tc>
          <w:tcPr>
            <w:tcW w:type="dxa" w:w="792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Anchor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No reflection on AI use at all. Either claims "no AI used" implausibly, or pasted output without inspection.</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Used AI but cannot articulate where it helped vs. hurt. Mentions tools but no decisions described.</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11–15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Can explain at least 2 specific AI decisions: what was generated, what was edited, what was rejected. Caught at least one AI error.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16–20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Clear evidence of judgment, not just generation. Articulates what AI did, what they decided, where AI was deliberately not used and why.</w:t>
            </w:r>
          </w:p>
        </w:tc>
      </w:tr>
    </w:tbl>
    <w:p>
      <w:pPr>
        <w:spacing w:after="120" w:line="300"/>
      </w:pPr>
      <w:r>
        <w:rPr>
          <w:rFonts w:ascii="Arial" w:cs="Arial" w:eastAsia="Arial" w:hAnsi="Arial"/>
          <w:color w:val="1A1A1A"/>
          <w:sz w:val="22"/>
          <w:szCs w:val="22"/>
        </w:rPr>
        <w:t xml:space="preserve">Council evidence (Tech + Strategy voices): AI-use disclosure section, prompt log if shared, explicit "I overrode the AI here because…" moments, evidence of fact-checking AI output.</w:t>
      </w:r>
    </w:p>
    <w:p>
      <w:pPr>
        <w:spacing w:after="120" w:line="300"/>
      </w:pPr>
      <w:r>
        <w:rPr>
          <w:rFonts w:ascii="Arial" w:cs="Arial" w:eastAsia="Arial" w:hAnsi="Arial"/>
          <w:color w:val="1A1A1A"/>
          <w:sz w:val="22"/>
          <w:szCs w:val="22"/>
        </w:rPr>
        <w:t xml:space="preserve">Failure modes: Pretending no AI was used. "I used ChatGPT" with no detail. Hallucinated facts the builder did not catch. AI-generated reflections about AI use (scored 0).</w:t>
      </w:r>
    </w:p>
    <w:p>
      <w:pPr>
        <w:pStyle w:val="Heading2"/>
        <w:spacing w:after="120" w:before="280"/>
      </w:pPr>
      <w:r>
        <w:rPr>
          <w:rFonts w:ascii="Arial" w:cs="Arial" w:eastAsia="Arial" w:hAnsi="Arial"/>
          <w:b/>
          <w:bCs/>
          <w:color w:val="1A1A1A"/>
          <w:sz w:val="28"/>
          <w:szCs w:val="28"/>
        </w:rPr>
        <w:t xml:space="preserve">2.4 Reflective Depth (0–20)</w:t>
      </w:r>
    </w:p>
    <w:p>
      <w:pPr>
        <w:spacing w:after="120" w:line="300"/>
      </w:pPr>
      <w:r>
        <w:rPr>
          <w:rFonts w:ascii="Arial" w:cs="Arial" w:eastAsia="Arial" w:hAnsi="Arial"/>
          <w:i/>
          <w:iCs/>
          <w:color w:val="555555"/>
          <w:sz w:val="22"/>
          <w:szCs w:val="22"/>
        </w:rPr>
        <w:t xml:space="preserve">Do they know what they learned? The reflection separates a builder from someone who got lucky once. Three prompts: what did not work, what would you do differently, what surprised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Range</w:t>
            </w:r>
          </w:p>
        </w:tc>
        <w:tc>
          <w:tcPr>
            <w:tcW w:type="dxa" w:w="792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Anchor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 learned a lot." Generic positive. No specifics, no discomfort, no concrete second-attempt plan.</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One specific lesson, but surface-level. Can name what failed but not why.</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11–15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Two of three prompts answered with specifics. Names a real wrong turn. Has at least one concrete change for next time.</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16–20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All three prompts answered with discomfort and specificity. Identifies a wrong assumption. Surprise is genuine, not performative.</w:t>
            </w:r>
          </w:p>
        </w:tc>
      </w:tr>
    </w:tbl>
    <w:p>
      <w:pPr>
        <w:spacing w:after="120" w:line="300"/>
      </w:pPr>
      <w:r>
        <w:rPr>
          <w:rFonts w:ascii="Arial" w:cs="Arial" w:eastAsia="Arial" w:hAnsi="Arial"/>
          <w:color w:val="1A1A1A"/>
          <w:sz w:val="22"/>
          <w:szCs w:val="22"/>
        </w:rPr>
        <w:t xml:space="preserve">Council evidence (all 5 voices weigh in — universal dimension): specificity of named failures, "I was wrong about X" moments, whether the surprise is about the user or about the self.</w:t>
      </w:r>
    </w:p>
    <w:p>
      <w:pPr>
        <w:spacing w:after="120" w:line="300"/>
      </w:pPr>
      <w:r>
        <w:rPr>
          <w:rFonts w:ascii="Arial" w:cs="Arial" w:eastAsia="Arial" w:hAnsi="Arial"/>
          <w:color w:val="1A1A1A"/>
          <w:sz w:val="22"/>
          <w:szCs w:val="22"/>
        </w:rPr>
        <w:t xml:space="preserve">Failure modes: "I learned to manage my time better." Performative humility. LLM-generated reflection (uniform sentence length, no named specifics).</w:t>
      </w:r>
    </w:p>
    <w:p>
      <w:pPr>
        <w:pStyle w:val="Heading2"/>
        <w:spacing w:after="120" w:before="280"/>
      </w:pPr>
      <w:r>
        <w:rPr>
          <w:rFonts w:ascii="Arial" w:cs="Arial" w:eastAsia="Arial" w:hAnsi="Arial"/>
          <w:b/>
          <w:bCs/>
          <w:color w:val="1A1A1A"/>
          <w:sz w:val="28"/>
          <w:szCs w:val="28"/>
        </w:rPr>
        <w:t xml:space="preserve">2.5 Original Insight (0–20)</w:t>
      </w:r>
    </w:p>
    <w:p>
      <w:pPr>
        <w:spacing w:after="120" w:line="300"/>
      </w:pPr>
      <w:r>
        <w:rPr>
          <w:rFonts w:ascii="Arial" w:cs="Arial" w:eastAsia="Arial" w:hAnsi="Arial"/>
          <w:i/>
          <w:iCs/>
          <w:color w:val="555555"/>
          <w:sz w:val="22"/>
          <w:szCs w:val="22"/>
        </w:rPr>
        <w:t xml:space="preserve">Is the thinking theirs? The code might be AI. The design might be Tailwind. But the angle has to be human.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Range</w:t>
            </w:r>
          </w:p>
        </w:tc>
        <w:tc>
          <w:tcPr>
            <w:tcW w:type="dxa" w:w="792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Anchor</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Tutorial clone. Idea pulled from a "30 startup ideas" list. Could be anyone's project.</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Familiar problem, slight twist. "To-do app but for students." Twist is not load-bearing.</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11–15</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Real observation underneath. The build addresses something the builder noticed in their own life.</w:t>
            </w:r>
          </w:p>
        </w:tc>
      </w:tr>
      <w:tr>
        <w:tc>
          <w:tcPr>
            <w:tcW w:type="dxa" w:w="14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16–20</w:t>
            </w:r>
          </w:p>
        </w:tc>
        <w:tc>
          <w:tcPr>
            <w:tcW w:type="dxa" w:w="792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Would not exist without this builder's specific experience or angle. Non-obvious framing. Sponsors want to know who made it.</w:t>
            </w:r>
          </w:p>
        </w:tc>
      </w:tr>
    </w:tbl>
    <w:p>
      <w:pPr>
        <w:spacing w:after="120" w:line="300"/>
      </w:pPr>
      <w:r>
        <w:rPr>
          <w:rFonts w:ascii="Arial" w:cs="Arial" w:eastAsia="Arial" w:hAnsi="Arial"/>
          <w:color w:val="1A1A1A"/>
          <w:sz w:val="22"/>
          <w:szCs w:val="22"/>
        </w:rPr>
        <w:t xml:space="preserve">Council evidence (Strategy + Impact voices): uniqueness of problem framing, personal context, comparison to obvious-default version of the same idea.</w:t>
      </w:r>
    </w:p>
    <w:p>
      <w:pPr>
        <w:spacing w:after="120" w:line="300"/>
      </w:pPr>
      <w:r>
        <w:rPr>
          <w:rFonts w:ascii="Arial" w:cs="Arial" w:eastAsia="Arial" w:hAnsi="Arial"/>
          <w:color w:val="1A1A1A"/>
          <w:sz w:val="22"/>
          <w:szCs w:val="22"/>
        </w:rPr>
        <w:t xml:space="preserve">Failure modes: Hackathon-template ideas (AI tutor, habit tracker, journal app). Trending-tech-driven. Solving a problem the builder does not actually have.</w:t>
      </w:r>
    </w:p>
    <w:p>
      <w:pPr>
        <w:pStyle w:val="Heading1"/>
        <w:pageBreakBefore/>
        <w:spacing w:after="180" w:before="360"/>
      </w:pPr>
      <w:r>
        <w:rPr>
          <w:rFonts w:ascii="Arial" w:cs="Arial" w:eastAsia="Arial" w:hAnsi="Arial"/>
          <w:b/>
          <w:bCs/>
          <w:color w:val="1E2761"/>
          <w:sz w:val="36"/>
          <w:szCs w:val="36"/>
        </w:rPr>
        <w:t xml:space="preserve">3. Score Bands</w:t>
      </w:r>
    </w:p>
    <w:p>
      <w:pPr>
        <w:spacing w:after="120" w:line="300"/>
      </w:pPr>
      <w:r>
        <w:rPr>
          <w:rFonts w:ascii="Arial" w:cs="Arial" w:eastAsia="Arial" w:hAnsi="Arial"/>
          <w:color w:val="1A1A1A"/>
          <w:sz w:val="22"/>
          <w:szCs w:val="22"/>
        </w:rPr>
        <w:t xml:space="preserve">Raw score is 0–100. Public display is 200–1000 (rescaled — see §6). Bands are identical thresholds in both scales.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100"/>
        <w:gridCol w:w="1500"/>
        <w:gridCol w:w="2700"/>
        <w:gridCol w:w="3160"/>
      </w:tblGrid>
      <w:tr>
        <w:tc>
          <w:tcPr>
            <w:tcW w:type="dxa" w:w="9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0–100</w:t>
            </w:r>
          </w:p>
        </w:tc>
        <w:tc>
          <w:tcPr>
            <w:tcW w:type="dxa" w:w="11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200–1000</w:t>
            </w:r>
          </w:p>
        </w:tc>
        <w:tc>
          <w:tcPr>
            <w:tcW w:type="dxa" w:w="15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Band</w:t>
            </w:r>
          </w:p>
        </w:tc>
        <w:tc>
          <w:tcPr>
            <w:tcW w:type="dxa" w:w="27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What it means</w:t>
            </w:r>
          </w:p>
        </w:tc>
        <w:tc>
          <w:tcPr>
            <w:tcW w:type="dxa" w:w="31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What unlocks</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0–40</w:t>
            </w:r>
          </w:p>
        </w:tc>
        <w:tc>
          <w:tcPr>
            <w:tcW w:type="dxa" w:w="11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200–520</w:t>
            </w:r>
          </w:p>
        </w:tc>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Explorer</w:t>
            </w:r>
          </w:p>
        </w:tc>
        <w:tc>
          <w:tcPr>
            <w:tcW w:type="dxa" w:w="27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Still learning to ship.</w:t>
            </w:r>
          </w:p>
        </w:tc>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Profile private by default. Not yet sponsor-visible.</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41–60</w:t>
            </w:r>
          </w:p>
        </w:tc>
        <w:tc>
          <w:tcPr>
            <w:tcW w:type="dxa" w:w="11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528–680</w:t>
            </w:r>
          </w:p>
        </w:tc>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Builder</w:t>
            </w:r>
          </w:p>
        </w:tc>
        <w:tc>
          <w:tcPr>
            <w:tcW w:type="dxa" w:w="27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Shipping, not yet consistent.</w:t>
            </w:r>
          </w:p>
        </w:tc>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Public profile + Vault. Cohort showcases. Bounty waitlist.</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61–79</w:t>
            </w:r>
          </w:p>
        </w:tc>
        <w:tc>
          <w:tcPr>
            <w:tcW w:type="dxa" w:w="11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688–832</w:t>
            </w:r>
          </w:p>
        </w:tc>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Maker</w:t>
            </w:r>
          </w:p>
        </w:tc>
        <w:tc>
          <w:tcPr>
            <w:tcW w:type="dxa" w:w="27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Verified builder, sponsor-visible.</w:t>
            </w:r>
          </w:p>
        </w:tc>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Sponsor search; paid bounties up to $250; Maker badge.</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80–89</w:t>
            </w:r>
          </w:p>
        </w:tc>
        <w:tc>
          <w:tcPr>
            <w:tcW w:type="dxa" w:w="11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840–912</w:t>
            </w:r>
          </w:p>
        </w:tc>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Architect</w:t>
            </w:r>
          </w:p>
        </w:tc>
        <w:tc>
          <w:tcPr>
            <w:tcW w:type="dxa" w:w="27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Bounty-eligible, fellowship-ready.</w:t>
            </w:r>
          </w:p>
        </w:tc>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All bounties; fellowship; Demo Day finalist; mentor pair.</w:t>
            </w:r>
          </w:p>
        </w:tc>
      </w:tr>
      <w:tr>
        <w:tc>
          <w:tcPr>
            <w:tcW w:type="dxa" w:w="9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90–100</w:t>
            </w:r>
          </w:p>
        </w:tc>
        <w:tc>
          <w:tcPr>
            <w:tcW w:type="dxa" w:w="11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920–1000</w:t>
            </w:r>
          </w:p>
        </w:tc>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Founder-grade</w:t>
            </w:r>
          </w:p>
        </w:tc>
        <w:tc>
          <w:tcPr>
            <w:tcW w:type="dxa" w:w="27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Top of class, direct partner intros.</w:t>
            </w:r>
          </w:p>
        </w:tc>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Partner intros; seed-grant eligibility; Champion-tier seeding.</w:t>
            </w:r>
          </w:p>
        </w:tc>
      </w:tr>
    </w:tbl>
    <w:p>
      <w:pPr>
        <w:pStyle w:val="Heading3"/>
        <w:spacing w:after="100" w:before="200"/>
      </w:pPr>
      <w:r>
        <w:rPr>
          <w:rFonts w:ascii="Arial" w:cs="Arial" w:eastAsia="Arial" w:hAnsi="Arial"/>
          <w:b/>
          <w:bCs/>
          <w:color w:val="1A1A1A"/>
          <w:sz w:val="24"/>
          <w:szCs w:val="24"/>
        </w:rPr>
        <w:t xml:space="preserve">Band display rules</w:t>
      </w:r>
    </w:p>
    <w:p>
      <w:pPr>
        <w:pStyle w:val="ListParagraph"/>
        <w:numPr>
          <w:ilvl w:val="0"/>
          <w:numId w:val="2"/>
        </w:numPr>
        <w:spacing w:after="80"/>
      </w:pPr>
      <w:r>
        <w:rPr>
          <w:rFonts w:ascii="Arial" w:cs="Arial" w:eastAsia="Arial" w:hAnsi="Arial"/>
          <w:color w:val="1A1A1A"/>
          <w:sz w:val="22"/>
          <w:szCs w:val="22"/>
        </w:rPr>
        <w:t xml:space="preserve">Band name is shown wherever the number is shown. Number-only is forbidden — context matters more than score.</w:t>
      </w:r>
    </w:p>
    <w:p>
      <w:pPr>
        <w:pStyle w:val="ListParagraph"/>
        <w:numPr>
          <w:ilvl w:val="0"/>
          <w:numId w:val="2"/>
        </w:numPr>
        <w:spacing w:after="80"/>
      </w:pPr>
      <w:r>
        <w:rPr>
          <w:rFonts w:ascii="Arial" w:cs="Arial" w:eastAsia="Arial" w:hAnsi="Arial"/>
          <w:color w:val="1A1A1A"/>
          <w:sz w:val="22"/>
          <w:szCs w:val="22"/>
        </w:rPr>
        <w:t xml:space="preserve">Bands are sticky: a student promoted to a band stays there for ≥30 days even if rolling score dips, to prevent churn-anxiety.</w:t>
      </w:r>
    </w:p>
    <w:p>
      <w:pPr>
        <w:pStyle w:val="ListParagraph"/>
        <w:numPr>
          <w:ilvl w:val="0"/>
          <w:numId w:val="2"/>
        </w:numPr>
        <w:spacing w:after="80"/>
      </w:pPr>
      <w:r>
        <w:rPr>
          <w:rFonts w:ascii="Arial" w:cs="Arial" w:eastAsia="Arial" w:hAnsi="Arial"/>
          <w:color w:val="1A1A1A"/>
          <w:sz w:val="22"/>
          <w:szCs w:val="22"/>
        </w:rPr>
        <w:t xml:space="preserve">Demotions Architect → Maker require ≥45 days below threshold and trigger a "what changed" notification with appeal CTA.</w:t>
      </w:r>
    </w:p>
    <w:p>
      <w:pPr>
        <w:pStyle w:val="Heading1"/>
        <w:pageBreakBefore/>
        <w:spacing w:after="180" w:before="360"/>
      </w:pPr>
      <w:r>
        <w:rPr>
          <w:rFonts w:ascii="Arial" w:cs="Arial" w:eastAsia="Arial" w:hAnsi="Arial"/>
          <w:b/>
          <w:bCs/>
          <w:color w:val="1E2761"/>
          <w:sz w:val="36"/>
          <w:szCs w:val="36"/>
        </w:rPr>
        <w:t xml:space="preserve">4. The Council Model</w:t>
      </w:r>
    </w:p>
    <w:p>
      <w:pPr>
        <w:spacing w:after="120" w:line="300"/>
      </w:pPr>
      <w:r>
        <w:rPr>
          <w:rFonts w:ascii="Arial" w:cs="Arial" w:eastAsia="Arial" w:hAnsi="Arial"/>
          <w:color w:val="1A1A1A"/>
          <w:sz w:val="22"/>
          <w:szCs w:val="22"/>
        </w:rPr>
        <w:t xml:space="preserve">Every project is scored by 3 of 5 voices, selected from the project's declared type. Each voice scores only the dimensions where it has authority. Final dimension score is the median across voices that scored it (median, not mean, to dampen one outlier voice).</w:t>
      </w:r>
    </w:p>
    <w:p>
      <w:pPr>
        <w:pStyle w:val="Heading2"/>
        <w:spacing w:after="120" w:before="280"/>
      </w:pPr>
      <w:r>
        <w:rPr>
          <w:rFonts w:ascii="Arial" w:cs="Arial" w:eastAsia="Arial" w:hAnsi="Arial"/>
          <w:b/>
          <w:bCs/>
          <w:color w:val="1A1A1A"/>
          <w:sz w:val="28"/>
          <w:szCs w:val="28"/>
        </w:rPr>
        <w:t xml:space="preserve">4.1 The Five Voices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4360"/>
      </w:tblGrid>
      <w:tr>
        <w:tc>
          <w:tcPr>
            <w:tcW w:type="dxa" w:w="15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Voice</w:t>
            </w:r>
          </w:p>
        </w:tc>
        <w:tc>
          <w:tcPr>
            <w:tcW w:type="dxa" w:w="35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Scores</w:t>
            </w:r>
          </w:p>
        </w:tc>
        <w:tc>
          <w:tcPr>
            <w:tcW w:type="dxa" w:w="43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Focus</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w:t>
            </w:r>
          </w:p>
        </w:tc>
        <w:tc>
          <w:tcPr>
            <w:tcW w:type="dxa" w:w="3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Artifact Integrity, AI Judgment</w:t>
            </w:r>
          </w:p>
        </w:tc>
        <w:tc>
          <w:tcPr>
            <w:tcW w:type="dxa" w:w="4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Does it run, does it scale, was AI used well</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Strategy</w:t>
            </w:r>
          </w:p>
        </w:tc>
        <w:tc>
          <w:tcPr>
            <w:tcW w:type="dxa" w:w="3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Problem Precision, AI Judgment, Original Insight</w:t>
            </w:r>
          </w:p>
        </w:tc>
        <w:tc>
          <w:tcPr>
            <w:tcW w:type="dxa" w:w="4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Is the angle real, is the user real</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w:t>
            </w:r>
          </w:p>
        </w:tc>
        <w:tc>
          <w:tcPr>
            <w:tcW w:type="dxa" w:w="3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Problem Precision, Reflective Depth</w:t>
            </w:r>
          </w:p>
        </w:tc>
        <w:tc>
          <w:tcPr>
            <w:tcW w:type="dxa" w:w="4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Could this be a business, did they learn the right things</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Impact</w:t>
            </w:r>
          </w:p>
        </w:tc>
        <w:tc>
          <w:tcPr>
            <w:tcW w:type="dxa" w:w="3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Original Insight, Reflective Depth</w:t>
            </w:r>
          </w:p>
        </w:tc>
        <w:tc>
          <w:tcPr>
            <w:tcW w:type="dxa" w:w="4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Does it matter, does it move the world</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w:t>
            </w:r>
          </w:p>
        </w:tc>
        <w:tc>
          <w:tcPr>
            <w:tcW w:type="dxa" w:w="3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Artifact Integrity, Original Insight</w:t>
            </w:r>
          </w:p>
        </w:tc>
        <w:tc>
          <w:tcPr>
            <w:tcW w:type="dxa" w:w="4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Is it considered, is it crafted</w:t>
            </w:r>
          </w:p>
        </w:tc>
      </w:tr>
    </w:tbl>
    <w:p>
      <w:pPr>
        <w:pStyle w:val="Heading2"/>
        <w:spacing w:after="120" w:before="280"/>
      </w:pPr>
      <w:r>
        <w:rPr>
          <w:rFonts w:ascii="Arial" w:cs="Arial" w:eastAsia="Arial" w:hAnsi="Arial"/>
          <w:b/>
          <w:bCs/>
          <w:color w:val="1A1A1A"/>
          <w:sz w:val="28"/>
          <w:szCs w:val="28"/>
        </w:rPr>
        <w:t xml:space="preserve">4.2 Voice → Dimension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Voice</w:t>
            </w:r>
          </w:p>
        </w:tc>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Artifact Integrity</w:t>
            </w:r>
          </w:p>
        </w:tc>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Problem Precision</w:t>
            </w:r>
          </w:p>
        </w:tc>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AI Judgment</w:t>
            </w:r>
          </w:p>
        </w:tc>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Reflective Depth</w:t>
            </w:r>
          </w:p>
        </w:tc>
        <w:tc>
          <w:tcPr>
            <w:tcW w:type="dxa" w:w="15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Original Insight</w:t>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Strategy</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Impact</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r>
      <w:t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Voices per dim</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2</w:t>
            </w:r>
          </w:p>
        </w:tc>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3</w:t>
            </w:r>
          </w:p>
        </w:tc>
      </w:tr>
    </w:tbl>
    <w:p>
      <w:pPr>
        <w:pStyle w:val="Heading2"/>
        <w:spacing w:after="120" w:before="280"/>
      </w:pPr>
      <w:r>
        <w:rPr>
          <w:rFonts w:ascii="Arial" w:cs="Arial" w:eastAsia="Arial" w:hAnsi="Arial"/>
          <w:b/>
          <w:bCs/>
          <w:color w:val="1A1A1A"/>
          <w:sz w:val="28"/>
          <w:szCs w:val="28"/>
        </w:rPr>
        <w:t xml:space="preserve">4.3 Council Selection by Project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Declared type</w:t>
            </w:r>
          </w:p>
        </w:tc>
        <w:tc>
          <w:tcPr>
            <w:tcW w:type="dxa" w:w="60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Voices selected (3)</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 tool / SaaS</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 Strategy, Design</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 idea</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 Strategy, Impact</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Social impact</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Impact, Strategy, Business</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 system / brand</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 Tech, Strategy</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Research / report</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Strategy, Impact, Business</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Hybrid (&gt;1 declared)</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Union of the above, capped at 4</w:t>
            </w:r>
          </w:p>
        </w:tc>
      </w:tr>
      <w:tr>
        <w:tc>
          <w:tcPr>
            <w:tcW w:type="dxa" w:w="33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None declared</w:t>
            </w:r>
          </w:p>
        </w:tc>
        <w:tc>
          <w:tcPr>
            <w:tcW w:type="dxa" w:w="6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Default: Tech, Strategy, Design</w:t>
            </w:r>
          </w:p>
        </w:tc>
      </w:tr>
    </w:tbl>
    <w:p>
      <w:pPr>
        <w:pStyle w:val="Heading2"/>
        <w:spacing w:after="120" w:before="280"/>
      </w:pPr>
      <w:r>
        <w:rPr>
          <w:rFonts w:ascii="Arial" w:cs="Arial" w:eastAsia="Arial" w:hAnsi="Arial"/>
          <w:b/>
          <w:bCs/>
          <w:color w:val="1A1A1A"/>
          <w:sz w:val="28"/>
          <w:szCs w:val="28"/>
        </w:rPr>
        <w:t xml:space="preserve">4.4 Human Override Protocol</w:t>
      </w:r>
    </w:p>
    <w:p>
      <w:pPr>
        <w:pStyle w:val="ListParagraph"/>
        <w:numPr>
          <w:ilvl w:val="0"/>
          <w:numId w:val="2"/>
        </w:numPr>
        <w:spacing w:after="80"/>
      </w:pPr>
      <w:r>
        <w:rPr>
          <w:rFonts w:ascii="Arial" w:cs="Arial" w:eastAsia="Arial" w:hAnsi="Arial"/>
          <w:color w:val="1A1A1A"/>
          <w:sz w:val="22"/>
          <w:szCs w:val="22"/>
        </w:rPr>
        <w:t xml:space="preserve">Override requires a written note ≥80 characters, visible to the builder.</w:t>
      </w:r>
    </w:p>
    <w:p>
      <w:pPr>
        <w:pStyle w:val="ListParagraph"/>
        <w:numPr>
          <w:ilvl w:val="0"/>
          <w:numId w:val="2"/>
        </w:numPr>
        <w:spacing w:after="80"/>
      </w:pPr>
      <w:r>
        <w:rPr>
          <w:rFonts w:ascii="Arial" w:cs="Arial" w:eastAsia="Arial" w:hAnsi="Arial"/>
          <w:color w:val="1A1A1A"/>
          <w:sz w:val="22"/>
          <w:szCs w:val="22"/>
        </w:rPr>
        <w:t xml:space="preserve">Override is recorded as a separate row — original AI score is preserved for audit.</w:t>
      </w:r>
    </w:p>
    <w:p>
      <w:pPr>
        <w:pStyle w:val="ListParagraph"/>
        <w:numPr>
          <w:ilvl w:val="0"/>
          <w:numId w:val="2"/>
        </w:numPr>
        <w:spacing w:after="80"/>
      </w:pPr>
      <w:r>
        <w:rPr>
          <w:rFonts w:ascii="Arial" w:cs="Arial" w:eastAsia="Arial" w:hAnsi="Arial"/>
          <w:color w:val="1A1A1A"/>
          <w:sz w:val="22"/>
          <w:szCs w:val="22"/>
        </w:rPr>
        <w:t xml:space="preserve">Override magnitude &gt; 5 points on any single dim auto-flags for senior-mentor review.</w:t>
      </w:r>
    </w:p>
    <w:p>
      <w:pPr>
        <w:pStyle w:val="ListParagraph"/>
        <w:numPr>
          <w:ilvl w:val="0"/>
          <w:numId w:val="2"/>
        </w:numPr>
        <w:spacing w:after="80"/>
      </w:pPr>
      <w:r>
        <w:rPr>
          <w:rFonts w:ascii="Arial" w:cs="Arial" w:eastAsia="Arial" w:hAnsi="Arial"/>
          <w:color w:val="1A1A1A"/>
          <w:sz w:val="22"/>
          <w:szCs w:val="22"/>
        </w:rPr>
        <w:t xml:space="preserve">Override is attributed publicly: profile shows "AIQ 724 (mentor-reviewed)" with the mentor name on hover.</w:t>
      </w:r>
    </w:p>
    <w:p>
      <w:pPr>
        <w:pStyle w:val="ListParagraph"/>
        <w:numPr>
          <w:ilvl w:val="0"/>
          <w:numId w:val="2"/>
        </w:numPr>
        <w:spacing w:after="80"/>
      </w:pPr>
      <w:r>
        <w:rPr>
          <w:rFonts w:ascii="Arial" w:cs="Arial" w:eastAsia="Arial" w:hAnsi="Arial"/>
          <w:color w:val="1A1A1A"/>
          <w:sz w:val="22"/>
          <w:szCs w:val="22"/>
        </w:rPr>
        <w:t xml:space="preserve">Builders can request a re-grade from a different mentor once per override.</w:t>
      </w:r>
    </w:p>
    <w:p>
      <w:pPr>
        <w:pStyle w:val="Heading1"/>
        <w:pageBreakBefore/>
        <w:spacing w:after="180" w:before="360"/>
      </w:pPr>
      <w:r>
        <w:rPr>
          <w:rFonts w:ascii="Arial" w:cs="Arial" w:eastAsia="Arial" w:hAnsi="Arial"/>
          <w:b/>
          <w:bCs/>
          <w:color w:val="1E2761"/>
          <w:sz w:val="36"/>
          <w:szCs w:val="36"/>
        </w:rPr>
        <w:t xml:space="preserve">5. Program Track Weights</w:t>
      </w:r>
    </w:p>
    <w:p>
      <w:pPr>
        <w:spacing w:after="120" w:line="300"/>
      </w:pPr>
      <w:r>
        <w:rPr>
          <w:rFonts w:ascii="Arial" w:cs="Arial" w:eastAsia="Arial" w:hAnsi="Arial"/>
          <w:color w:val="1A1A1A"/>
          <w:sz w:val="22"/>
          <w:szCs w:val="22"/>
        </w:rPr>
        <w:t xml:space="preserve">Different LWL programs weight the same 5 dimensions differently. The dim raw score is multiplied by the track weight; weighted total is then renormalized to 0–100.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60"/>
        <w:gridCol w:w="1240"/>
        <w:gridCol w:w="1240"/>
        <w:gridCol w:w="1240"/>
        <w:gridCol w:w="1240"/>
        <w:gridCol w:w="1240"/>
      </w:tblGrid>
      <w:tr>
        <w:tc>
          <w:tcPr>
            <w:tcW w:type="dxa" w:w="31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Program</w:t>
            </w:r>
          </w:p>
        </w:tc>
        <w:tc>
          <w:tcPr>
            <w:tcW w:type="dxa" w:w="12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Artifact</w:t>
            </w:r>
          </w:p>
        </w:tc>
        <w:tc>
          <w:tcPr>
            <w:tcW w:type="dxa" w:w="12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Problem</w:t>
            </w:r>
          </w:p>
        </w:tc>
        <w:tc>
          <w:tcPr>
            <w:tcW w:type="dxa" w:w="12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AI Judgment</w:t>
            </w:r>
          </w:p>
        </w:tc>
        <w:tc>
          <w:tcPr>
            <w:tcW w:type="dxa" w:w="12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Reflection</w:t>
            </w:r>
          </w:p>
        </w:tc>
        <w:tc>
          <w:tcPr>
            <w:tcW w:type="dxa" w:w="124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Original</w:t>
            </w:r>
          </w:p>
        </w:tc>
      </w:tr>
      <w:tr>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Default (unaffiliated)</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r>
      <w:tr>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TEO / NBL (tech entrepreneurship)</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1.2</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1.3</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0.8</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0.7</w:t>
            </w:r>
          </w:p>
        </w:tc>
      </w:tr>
      <w:tr>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Edge Club (process-focused)</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0.7</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1.4</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1.3</w:t>
            </w:r>
          </w:p>
        </w:tc>
      </w:tr>
      <w:tr>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FDF (founder dev fellowship)</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1.4</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0.7</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1.3</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0.9</w:t>
            </w:r>
          </w:p>
        </w:tc>
      </w:tr>
      <w:tr>
        <w:tc>
          <w:tcPr>
            <w:tcW w:type="dxa" w:w="3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WLA (writers, leaders, artists)</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0.6</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1.0</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0.8</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1.4</w:t>
            </w:r>
          </w:p>
        </w:tc>
        <w:tc>
          <w:tcPr>
            <w:tcW w:type="dxa" w:w="124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1.5</w:t>
            </w:r>
          </w:p>
        </w:tc>
      </w:tr>
    </w:tbl>
    <w:p>
      <w:pPr>
        <w:spacing w:after="120" w:line="300"/>
      </w:pPr>
      <w:r>
        <w:rPr>
          <w:rFonts w:ascii="Arial" w:cs="Arial" w:eastAsia="Arial" w:hAnsi="Arial"/>
          <w:color w:val="1A1A1A"/>
          <w:sz w:val="22"/>
          <w:szCs w:val="22"/>
        </w:rPr>
        <w:t xml:space="preserve">Renormalization: score100 = round( (Σ dim_i × weight_i) / (Σ weight_i × 20 / 100) ) — so a perfect-by-track-criteria submission still yields exactly 100.</w:t>
      </w:r>
    </w:p>
    <w:p>
      <w:pPr>
        <w:spacing w:after="120" w:line="300"/>
      </w:pPr>
      <w:r>
        <w:rPr>
          <w:rFonts w:ascii="Arial" w:cs="Arial" w:eastAsia="Arial" w:hAnsi="Arial"/>
          <w:color w:val="1A1A1A"/>
          <w:sz w:val="22"/>
          <w:szCs w:val="22"/>
        </w:rPr>
        <w:t xml:space="preserve">Display rule: Wherever the score is shown for a program-affiliated submission, the program name and "weighted" tag appear next to the score, e.g. "AIQ 87 — Founder-grade (FDF-weighted)".</w:t>
      </w:r>
    </w:p>
    <w:p>
      <w:pPr>
        <w:pStyle w:val="Heading1"/>
        <w:pageBreakBefore/>
        <w:spacing w:after="180" w:before="360"/>
      </w:pPr>
      <w:r>
        <w:rPr>
          <w:rFonts w:ascii="Arial" w:cs="Arial" w:eastAsia="Arial" w:hAnsi="Arial"/>
          <w:b/>
          <w:bCs/>
          <w:color w:val="1E2761"/>
          <w:sz w:val="36"/>
          <w:szCs w:val="36"/>
        </w:rPr>
        <w:t xml:space="preserve">6. Display Math</w:t>
      </w:r>
    </w:p>
    <w:p>
      <w:pPr>
        <w:pStyle w:val="Heading2"/>
        <w:spacing w:after="120" w:before="280"/>
      </w:pPr>
      <w:r>
        <w:rPr>
          <w:rFonts w:ascii="Arial" w:cs="Arial" w:eastAsia="Arial" w:hAnsi="Arial"/>
          <w:b/>
          <w:bCs/>
          <w:color w:val="1A1A1A"/>
          <w:sz w:val="28"/>
          <w:szCs w:val="28"/>
        </w:rPr>
        <w:t xml:space="preserve">6.1 Score computation</w:t>
      </w:r>
    </w:p>
    <w:p>
      <w:pPr>
        <w:spacing w:after="120" w:line="300"/>
      </w:pPr>
      <w:r>
        <w:rPr>
          <w:rFonts w:ascii="Arial" w:cs="Arial" w:eastAsia="Arial" w:hAnsi="Arial"/>
          <w:color w:val="1A1A1A"/>
          <w:sz w:val="22"/>
          <w:szCs w:val="22"/>
        </w:rPr>
        <w:t xml:space="preserve">Inputs: d = [aIntegrity, pPrecision, aiJudgment, rDepth, oInsight] each 0–20; w = trackWeights, five floats.</w:t>
      </w:r>
    </w:p>
    <w:p>
      <w:pPr>
        <w:spacing w:after="120" w:line="300"/>
      </w:pPr>
      <w:r>
        <w:rPr>
          <w:rFonts w:ascii="Arial" w:cs="Arial" w:eastAsia="Arial" w:hAnsi="Arial"/>
          <w:color w:val="1A1A1A"/>
          <w:sz w:val="22"/>
          <w:szCs w:val="22"/>
        </w:rPr>
        <w:t xml:space="preserve">weighted_sum = Σ (d[i] × w[i])</w:t>
      </w:r>
    </w:p>
    <w:p>
      <w:pPr>
        <w:spacing w:after="120" w:line="300"/>
      </w:pPr>
      <w:r>
        <w:rPr>
          <w:rFonts w:ascii="Arial" w:cs="Arial" w:eastAsia="Arial" w:hAnsi="Arial"/>
          <w:color w:val="1A1A1A"/>
          <w:sz w:val="22"/>
          <w:szCs w:val="22"/>
        </w:rPr>
        <w:t xml:space="preserve">max_possible = Σ (20 × w[i])</w:t>
      </w:r>
    </w:p>
    <w:p>
      <w:pPr>
        <w:spacing w:after="120" w:line="300"/>
      </w:pPr>
      <w:r>
        <w:rPr>
          <w:rFonts w:ascii="Arial" w:cs="Arial" w:eastAsia="Arial" w:hAnsi="Arial"/>
          <w:color w:val="1A1A1A"/>
          <w:sz w:val="22"/>
          <w:szCs w:val="22"/>
        </w:rPr>
        <w:t xml:space="preserve">score100 = round(weighted_sum × 100 / max_possible)  // 0–100</w:t>
      </w:r>
    </w:p>
    <w:p>
      <w:pPr>
        <w:spacing w:after="120" w:line="300"/>
      </w:pPr>
      <w:r>
        <w:rPr>
          <w:rFonts w:ascii="Arial" w:cs="Arial" w:eastAsia="Arial" w:hAnsi="Arial"/>
          <w:color w:val="1A1A1A"/>
          <w:sz w:val="22"/>
          <w:szCs w:val="22"/>
        </w:rPr>
        <w:t xml:space="preserve">publicScore = round(200 + score100 × 8)              // 200–1000</w:t>
      </w:r>
    </w:p>
    <w:p>
      <w:pPr>
        <w:pStyle w:val="Heading2"/>
        <w:spacing w:after="120" w:before="280"/>
      </w:pPr>
      <w:r>
        <w:rPr>
          <w:rFonts w:ascii="Arial" w:cs="Arial" w:eastAsia="Arial" w:hAnsi="Arial"/>
          <w:b/>
          <w:bCs/>
          <w:color w:val="1A1A1A"/>
          <w:sz w:val="28"/>
          <w:szCs w:val="28"/>
        </w:rPr>
        <w:t xml:space="preserve">6.2 4-lens projection (legacy radar)</w:t>
      </w:r>
    </w:p>
    <w:p>
      <w:pPr>
        <w:spacing w:after="120" w:line="300"/>
      </w:pPr>
      <w:r>
        <w:rPr>
          <w:rFonts w:ascii="Arial" w:cs="Arial" w:eastAsia="Arial" w:hAnsi="Arial"/>
          <w:color w:val="1A1A1A"/>
          <w:sz w:val="22"/>
          <w:szCs w:val="22"/>
        </w:rPr>
        <w:t xml:space="preserve">Until the radar is rewritten to show the 5 dims natively, project the 5 dims onto 4 lenses with a fixed matrix. Each lens output is 0–100.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Lens</w:t>
            </w:r>
          </w:p>
        </w:tc>
        <w:tc>
          <w:tcPr>
            <w:tcW w:type="dxa" w:w="78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Formula</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(0.5·OriginalInsight + 0.3·ProblemPrecision + 0.2·ArtifactIntegrity) × 5</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(0.6·ProblemPrecision + 0.4·OriginalInsight) × 5</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(0.6·ArtifactIntegrity + 0.4·AIJudgment) × 5</w:t>
            </w:r>
          </w:p>
        </w:tc>
      </w:tr>
      <w:tr>
        <w:tc>
          <w:tcPr>
            <w:tcW w:type="dxa" w:w="15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Content</w:t>
            </w:r>
          </w:p>
        </w:tc>
        <w:tc>
          <w:tcPr>
            <w:tcW w:type="dxa" w:w="78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(0.5·ReflectiveDepth + 0.3·OriginalInsight + 0.2·AIJudgment) × 5</w:t>
            </w:r>
          </w:p>
        </w:tc>
      </w:tr>
    </w:tbl>
    <w:p>
      <w:pPr>
        <w:spacing w:after="120" w:line="300"/>
      </w:pPr>
      <w:r>
        <w:rPr>
          <w:rFonts w:ascii="Arial" w:cs="Arial" w:eastAsia="Arial" w:hAnsi="Arial"/>
          <w:color w:val="1A1A1A"/>
          <w:sz w:val="22"/>
          <w:szCs w:val="22"/>
        </w:rPr>
        <w:t xml:space="preserve">Reflective Depth deliberately does not feed Tech or Business — it lives in Content/Brand because reflection is ultimately a communication artifact.</w:t>
      </w:r>
    </w:p>
    <w:p>
      <w:pPr>
        <w:pStyle w:val="Heading1"/>
        <w:pageBreakBefore/>
        <w:spacing w:after="180" w:before="360"/>
      </w:pPr>
      <w:r>
        <w:rPr>
          <w:rFonts w:ascii="Arial" w:cs="Arial" w:eastAsia="Arial" w:hAnsi="Arial"/>
          <w:b/>
          <w:bCs/>
          <w:color w:val="1E2761"/>
          <w:sz w:val="36"/>
          <w:szCs w:val="36"/>
        </w:rPr>
        <w:t xml:space="preserve">7. Regrade-Stability — The Trust Contract</w:t>
      </w:r>
    </w:p>
    <w:p>
      <w:pPr>
        <w:spacing w:after="120" w:line="300"/>
      </w:pPr>
      <w:r>
        <w:rPr>
          <w:rFonts w:ascii="Arial" w:cs="Arial" w:eastAsia="Arial" w:hAnsi="Arial"/>
          <w:color w:val="1A1A1A"/>
          <w:sz w:val="22"/>
          <w:szCs w:val="22"/>
        </w:rPr>
        <w:t xml:space="preserve">A score people can defend is more valuable than a score that is slightly more accurate. These rules trade some accuracy for stability.</w:t>
      </w:r>
    </w:p>
    <w:p>
      <w:pPr>
        <w:pStyle w:val="Heading2"/>
        <w:spacing w:after="120" w:before="280"/>
      </w:pPr>
      <w:r>
        <w:rPr>
          <w:rFonts w:ascii="Arial" w:cs="Arial" w:eastAsia="Arial" w:hAnsi="Arial"/>
          <w:b/>
          <w:bCs/>
          <w:color w:val="1A1A1A"/>
          <w:sz w:val="28"/>
          <w:szCs w:val="28"/>
        </w:rPr>
        <w:t xml:space="preserve">7.1 Idempotency</w:t>
      </w:r>
    </w:p>
    <w:p>
      <w:pPr>
        <w:spacing w:after="120" w:line="300"/>
      </w:pPr>
      <w:r>
        <w:rPr>
          <w:rFonts w:ascii="Arial" w:cs="Arial" w:eastAsia="Arial" w:hAnsi="Arial"/>
          <w:color w:val="1A1A1A"/>
          <w:sz w:val="22"/>
          <w:szCs w:val="22"/>
        </w:rPr>
        <w:t xml:space="preserve">Same artifact + same AIQ_RUBRIC_VERSION + same council voice composition must yield the same score within ±2 points on any dim. Enforced via versioned prompts (in git), LLM temperature = 0.2, and recorded prompt hash + model version + content hash.</w:t>
      </w:r>
    </w:p>
    <w:p>
      <w:pPr>
        <w:pStyle w:val="Heading2"/>
        <w:spacing w:after="120" w:before="280"/>
      </w:pPr>
      <w:r>
        <w:rPr>
          <w:rFonts w:ascii="Arial" w:cs="Arial" w:eastAsia="Arial" w:hAnsi="Arial"/>
          <w:b/>
          <w:bCs/>
          <w:color w:val="1A1A1A"/>
          <w:sz w:val="28"/>
          <w:szCs w:val="28"/>
        </w:rPr>
        <w:t xml:space="preserve">7.2 Versioning</w:t>
      </w:r>
    </w:p>
    <w:p>
      <w:pPr>
        <w:pStyle w:val="ListParagraph"/>
        <w:numPr>
          <w:ilvl w:val="0"/>
          <w:numId w:val="2"/>
        </w:numPr>
        <w:spacing w:after="80"/>
      </w:pPr>
      <w:r>
        <w:rPr>
          <w:rFonts w:ascii="Arial" w:cs="Arial" w:eastAsia="Arial" w:hAnsi="Arial"/>
          <w:color w:val="1A1A1A"/>
          <w:sz w:val="22"/>
          <w:szCs w:val="22"/>
        </w:rPr>
        <w:t xml:space="preserve">Every score record stamps rubric_version (e.g. 2.0.0).</w:t>
      </w:r>
    </w:p>
    <w:p>
      <w:pPr>
        <w:pStyle w:val="ListParagraph"/>
        <w:numPr>
          <w:ilvl w:val="0"/>
          <w:numId w:val="2"/>
        </w:numPr>
        <w:spacing w:after="80"/>
      </w:pPr>
      <w:r>
        <w:rPr>
          <w:rFonts w:ascii="Arial" w:cs="Arial" w:eastAsia="Arial" w:hAnsi="Arial"/>
          <w:color w:val="1A1A1A"/>
          <w:sz w:val="22"/>
          <w:szCs w:val="22"/>
        </w:rPr>
        <w:t xml:space="preserve">Rubric changes (anchor edits, weight changes, council recomposition) bump the version.</w:t>
      </w:r>
    </w:p>
    <w:p>
      <w:pPr>
        <w:pStyle w:val="ListParagraph"/>
        <w:numPr>
          <w:ilvl w:val="0"/>
          <w:numId w:val="2"/>
        </w:numPr>
        <w:spacing w:after="80"/>
      </w:pPr>
      <w:r>
        <w:rPr>
          <w:rFonts w:ascii="Arial" w:cs="Arial" w:eastAsia="Arial" w:hAnsi="Arial"/>
          <w:color w:val="1A1A1A"/>
          <w:sz w:val="22"/>
          <w:szCs w:val="22"/>
        </w:rPr>
        <w:t xml:space="preserve">Existing scores are never silently re-rated. Re-grade is opt-in; original is preserved as a separate row.</w:t>
      </w:r>
    </w:p>
    <w:p>
      <w:pPr>
        <w:pStyle w:val="ListParagraph"/>
        <w:numPr>
          <w:ilvl w:val="0"/>
          <w:numId w:val="2"/>
        </w:numPr>
        <w:spacing w:after="80"/>
      </w:pPr>
      <w:r>
        <w:rPr>
          <w:rFonts w:ascii="Arial" w:cs="Arial" w:eastAsia="Arial" w:hAnsi="Arial"/>
          <w:color w:val="1A1A1A"/>
          <w:sz w:val="22"/>
          <w:szCs w:val="22"/>
        </w:rPr>
        <w:t xml:space="preserve">Profile shows scores under the version they were rated under, with a "rated under v2.0" tag on hover.</w:t>
      </w:r>
    </w:p>
    <w:p>
      <w:pPr>
        <w:pStyle w:val="Heading2"/>
        <w:spacing w:after="120" w:before="280"/>
      </w:pPr>
      <w:r>
        <w:rPr>
          <w:rFonts w:ascii="Arial" w:cs="Arial" w:eastAsia="Arial" w:hAnsi="Arial"/>
          <w:b/>
          <w:bCs/>
          <w:color w:val="1A1A1A"/>
          <w:sz w:val="28"/>
          <w:szCs w:val="28"/>
        </w:rPr>
        <w:t xml:space="preserve">7.3 Confidence intervals</w:t>
      </w:r>
    </w:p>
    <w:p>
      <w:pPr>
        <w:spacing w:after="120" w:line="300"/>
      </w:pPr>
      <w:r>
        <w:rPr>
          <w:rFonts w:ascii="Arial" w:cs="Arial" w:eastAsia="Arial" w:hAnsi="Arial"/>
          <w:color w:val="1A1A1A"/>
          <w:sz w:val="22"/>
          <w:szCs w:val="22"/>
        </w:rPr>
        <w:t xml:space="preserve">Council emits per-dim score AND a confidence value 0.0–1.0. Low-confidence dims (&lt; 0.6) are flagged for human review before publishing. Student sees "AIQ pending mentor review" instead of a partial score. SLA: 48h human-review turnaround.</w:t>
      </w:r>
    </w:p>
    <w:p>
      <w:pPr>
        <w:pStyle w:val="Heading2"/>
        <w:spacing w:after="120" w:before="280"/>
      </w:pPr>
      <w:r>
        <w:rPr>
          <w:rFonts w:ascii="Arial" w:cs="Arial" w:eastAsia="Arial" w:hAnsi="Arial"/>
          <w:b/>
          <w:bCs/>
          <w:color w:val="1A1A1A"/>
          <w:sz w:val="28"/>
          <w:szCs w:val="28"/>
        </w:rPr>
        <w:t xml:space="preserve">7.4 Re-grade cool-down</w:t>
      </w:r>
    </w:p>
    <w:p>
      <w:pPr>
        <w:spacing w:after="120" w:line="300"/>
      </w:pPr>
      <w:r>
        <w:rPr>
          <w:rFonts w:ascii="Arial" w:cs="Arial" w:eastAsia="Arial" w:hAnsi="Arial"/>
          <w:color w:val="1A1A1A"/>
          <w:sz w:val="22"/>
          <w:szCs w:val="22"/>
        </w:rPr>
        <w:t xml:space="preserve">A single project can be re-graded at most once per 14 days unless a mentor unlocks the cool-down. Prevents score-farming.</w:t>
      </w:r>
    </w:p>
    <w:p>
      <w:pPr>
        <w:pStyle w:val="Heading2"/>
        <w:spacing w:after="120" w:before="280"/>
      </w:pPr>
      <w:r>
        <w:rPr>
          <w:rFonts w:ascii="Arial" w:cs="Arial" w:eastAsia="Arial" w:hAnsi="Arial"/>
          <w:b/>
          <w:bCs/>
          <w:color w:val="1A1A1A"/>
          <w:sz w:val="28"/>
          <w:szCs w:val="28"/>
        </w:rPr>
        <w:t xml:space="preserve">7.5 Drift monitoring</w:t>
      </w:r>
    </w:p>
    <w:p>
      <w:pPr>
        <w:spacing w:after="120" w:line="300"/>
      </w:pPr>
      <w:r>
        <w:rPr>
          <w:rFonts w:ascii="Arial" w:cs="Arial" w:eastAsia="Arial" w:hAnsi="Arial"/>
          <w:color w:val="1A1A1A"/>
          <w:sz w:val="22"/>
          <w:szCs w:val="22"/>
        </w:rPr>
        <w:t xml:space="preserve">Monthly job samples 50 historical projects across all bands and re-runs the council. If mean drift exceeds 0.5σ in any direction, an alert fires and the rubric/version is reviewed before further publishing. Drift logs are public.</w:t>
      </w:r>
    </w:p>
    <w:p>
      <w:pPr>
        <w:pStyle w:val="Heading2"/>
        <w:spacing w:after="120" w:before="280"/>
      </w:pPr>
      <w:r>
        <w:rPr>
          <w:rFonts w:ascii="Arial" w:cs="Arial" w:eastAsia="Arial" w:hAnsi="Arial"/>
          <w:b/>
          <w:bCs/>
          <w:color w:val="1A1A1A"/>
          <w:sz w:val="28"/>
          <w:szCs w:val="28"/>
        </w:rPr>
        <w:t xml:space="preserve">7.6 Trailing average (rolling AIQ)</w:t>
      </w:r>
    </w:p>
    <w:p>
      <w:pPr>
        <w:spacing w:after="120" w:line="300"/>
      </w:pPr>
      <w:r>
        <w:rPr>
          <w:rFonts w:ascii="Arial" w:cs="Arial" w:eastAsia="Arial" w:hAnsi="Arial"/>
          <w:color w:val="1A1A1A"/>
          <w:sz w:val="22"/>
          <w:szCs w:val="22"/>
        </w:rPr>
        <w:t xml:space="preserve">The number on the public profile is the weighted trailing average over the last 90 days:</w:t>
      </w:r>
    </w:p>
    <w:p>
      <w:pPr>
        <w:spacing w:after="120" w:line="300"/>
      </w:pPr>
      <w:r>
        <w:rPr>
          <w:rFonts w:ascii="Arial" w:cs="Arial" w:eastAsia="Arial" w:hAnsi="Arial"/>
          <w:color w:val="1A1A1A"/>
          <w:sz w:val="22"/>
          <w:szCs w:val="22"/>
        </w:rPr>
        <w:t xml:space="preserve">rollingAIQ = Σ (projectScore_i × recencyWeight_i × magnitudeWeight_i) / Σ weights</w:t>
      </w:r>
    </w:p>
    <w:p>
      <w:pPr>
        <w:spacing w:after="120" w:line="300"/>
      </w:pPr>
      <w:r>
        <w:rPr>
          <w:rFonts w:ascii="Arial" w:cs="Arial" w:eastAsia="Arial" w:hAnsi="Arial"/>
          <w:color w:val="1A1A1A"/>
          <w:sz w:val="22"/>
          <w:szCs w:val="22"/>
        </w:rPr>
        <w:t xml:space="preserve">recencyWeight = exp(-daysAgo / 30)   // half-life ~21 days</w:t>
      </w:r>
    </w:p>
    <w:p>
      <w:pPr>
        <w:spacing w:after="120" w:line="300"/>
      </w:pPr>
      <w:r>
        <w:rPr>
          <w:rFonts w:ascii="Arial" w:cs="Arial" w:eastAsia="Arial" w:hAnsi="Arial"/>
          <w:color w:val="1A1A1A"/>
          <w:sz w:val="22"/>
          <w:szCs w:val="22"/>
        </w:rPr>
        <w:t xml:space="preserve">magnitudeWeight = clamp(projectAmbition, 0.5, 1.5)   // mentor-set per project</w:t>
      </w:r>
    </w:p>
    <w:p>
      <w:pPr>
        <w:pStyle w:val="ListParagraph"/>
        <w:numPr>
          <w:ilvl w:val="0"/>
          <w:numId w:val="2"/>
        </w:numPr>
        <w:spacing w:after="80"/>
      </w:pPr>
      <w:r>
        <w:rPr>
          <w:rFonts w:ascii="Arial" w:cs="Arial" w:eastAsia="Arial" w:hAnsi="Arial"/>
          <w:color w:val="1A1A1A"/>
          <w:sz w:val="22"/>
          <w:szCs w:val="22"/>
        </w:rPr>
        <w:t xml:space="preserve">New students with &lt;3 scored projects show "AIQ forming — N projects scored" instead of a number.</w:t>
      </w:r>
    </w:p>
    <w:p>
      <w:pPr>
        <w:pStyle w:val="ListParagraph"/>
        <w:numPr>
          <w:ilvl w:val="0"/>
          <w:numId w:val="2"/>
        </w:numPr>
        <w:spacing w:after="80"/>
      </w:pPr>
      <w:r>
        <w:rPr>
          <w:rFonts w:ascii="Arial" w:cs="Arial" w:eastAsia="Arial" w:hAnsi="Arial"/>
          <w:color w:val="1A1A1A"/>
          <w:sz w:val="22"/>
          <w:szCs w:val="22"/>
        </w:rPr>
        <w:t xml:space="preserve">One bad grade can drop rolling AIQ by at most 30 points in a single update (clamp).</w:t>
      </w:r>
    </w:p>
    <w:p>
      <w:pPr>
        <w:pStyle w:val="ListParagraph"/>
        <w:numPr>
          <w:ilvl w:val="0"/>
          <w:numId w:val="2"/>
        </w:numPr>
        <w:spacing w:after="80"/>
      </w:pPr>
      <w:r>
        <w:rPr>
          <w:rFonts w:ascii="Arial" w:cs="Arial" w:eastAsia="Arial" w:hAnsi="Arial"/>
          <w:color w:val="1A1A1A"/>
          <w:sz w:val="22"/>
          <w:szCs w:val="22"/>
        </w:rPr>
        <w:t xml:space="preserve">Rolling AIQ recomputes nightly + on every new score insert (write-through).</w:t>
      </w:r>
    </w:p>
    <w:p>
      <w:pPr>
        <w:pStyle w:val="Heading2"/>
        <w:spacing w:after="120" w:before="280"/>
      </w:pPr>
      <w:r>
        <w:rPr>
          <w:rFonts w:ascii="Arial" w:cs="Arial" w:eastAsia="Arial" w:hAnsi="Arial"/>
          <w:b/>
          <w:bCs/>
          <w:color w:val="1A1A1A"/>
          <w:sz w:val="28"/>
          <w:szCs w:val="28"/>
        </w:rPr>
        <w:t xml:space="preserve">7.7 Appeals</w:t>
      </w:r>
    </w:p>
    <w:p>
      <w:pPr>
        <w:spacing w:after="120" w:line="300"/>
      </w:pPr>
      <w:r>
        <w:rPr>
          <w:rFonts w:ascii="Arial" w:cs="Arial" w:eastAsia="Arial" w:hAnsi="Arial"/>
          <w:color w:val="1A1A1A"/>
          <w:sz w:val="22"/>
          <w:szCs w:val="22"/>
        </w:rPr>
        <w:t xml:space="preserve">See §10. An appeal pauses public display of the disputed score until resolution.</w:t>
      </w:r>
    </w:p>
    <w:p>
      <w:pPr>
        <w:pStyle w:val="Heading1"/>
        <w:pageBreakBefore/>
        <w:spacing w:after="180" w:before="360"/>
      </w:pPr>
      <w:r>
        <w:rPr>
          <w:rFonts w:ascii="Arial" w:cs="Arial" w:eastAsia="Arial" w:hAnsi="Arial"/>
          <w:b/>
          <w:bCs/>
          <w:color w:val="1E2761"/>
          <w:sz w:val="36"/>
          <w:szCs w:val="36"/>
        </w:rPr>
        <w:t xml:space="preserve">8. Capstone Rubrics — Flexible, School-Owned</w:t>
      </w:r>
    </w:p>
    <w:p>
      <w:pPr>
        <w:spacing w:after="120" w:line="300"/>
      </w:pPr>
      <w:r>
        <w:rPr>
          <w:rFonts w:ascii="Arial" w:cs="Arial" w:eastAsia="Arial" w:hAnsi="Arial"/>
          <w:color w:val="1A1A1A"/>
          <w:sz w:val="22"/>
          <w:szCs w:val="22"/>
        </w:rPr>
        <w:t xml:space="preserve">Schools and educators bring their own rubrics. Platform provides templates and tooling; schools own the criteria. Both the school grade and the AIQ score are computed and shown — they do not compete.</w:t>
      </w:r>
    </w:p>
    <w:p>
      <w:pPr>
        <w:pStyle w:val="Heading2"/>
        <w:spacing w:after="120" w:before="280"/>
      </w:pPr>
      <w:r>
        <w:rPr>
          <w:rFonts w:ascii="Arial" w:cs="Arial" w:eastAsia="Arial" w:hAnsi="Arial"/>
          <w:b/>
          <w:bCs/>
          <w:color w:val="1A1A1A"/>
          <w:sz w:val="28"/>
          <w:szCs w:val="28"/>
        </w:rPr>
        <w:t xml:space="preserve">8.1 Data model (M3 migration shape)</w:t>
      </w:r>
    </w:p>
    <w:p>
      <w:pPr>
        <w:spacing w:after="120" w:line="300"/>
      </w:pPr>
      <w:r>
        <w:rPr>
          <w:rFonts w:ascii="Arial" w:cs="Arial" w:eastAsia="Arial" w:hAnsi="Arial"/>
          <w:color w:val="1A1A1A"/>
          <w:sz w:val="22"/>
          <w:szCs w:val="22"/>
        </w:rPr>
        <w:t xml:space="preserve">Three tables: rubrics (org-owned, versioned, lockable), rubric_criteria (label, weight, anchors jsonb), and capstone_submissions extended with school_rubric_id, school_score jsonb, and aiq_dim_scores jsonb. RLS: rubrics readable by org members, writable by org admins; LWL templates readable by all; aiq_dim_scores writable only by council functions.</w:t>
      </w:r>
    </w:p>
    <w:p>
      <w:pPr>
        <w:pStyle w:val="Heading2"/>
        <w:spacing w:after="120" w:before="280"/>
      </w:pPr>
      <w:r>
        <w:rPr>
          <w:rFonts w:ascii="Arial" w:cs="Arial" w:eastAsia="Arial" w:hAnsi="Arial"/>
          <w:b/>
          <w:bCs/>
          <w:color w:val="1A1A1A"/>
          <w:sz w:val="28"/>
          <w:szCs w:val="28"/>
        </w:rPr>
        <w:t xml:space="preserve">8.2 Educator UX (M3)</w:t>
      </w:r>
    </w:p>
    <w:p>
      <w:pPr>
        <w:pStyle w:val="ListParagraph"/>
        <w:numPr>
          <w:ilvl w:val="0"/>
          <w:numId w:val="2"/>
        </w:numPr>
        <w:spacing w:after="80"/>
      </w:pPr>
      <w:r>
        <w:rPr>
          <w:rFonts w:ascii="Arial" w:cs="Arial" w:eastAsia="Arial" w:hAnsi="Arial"/>
          <w:color w:val="1A1A1A"/>
          <w:sz w:val="22"/>
          <w:szCs w:val="22"/>
        </w:rPr>
        <w:t xml:space="preserve">Clone a template OR build from scratch.</w:t>
      </w:r>
    </w:p>
    <w:p>
      <w:pPr>
        <w:pStyle w:val="ListParagraph"/>
        <w:numPr>
          <w:ilvl w:val="0"/>
          <w:numId w:val="2"/>
        </w:numPr>
        <w:spacing w:after="80"/>
      </w:pPr>
      <w:r>
        <w:rPr>
          <w:rFonts w:ascii="Arial" w:cs="Arial" w:eastAsia="Arial" w:hAnsi="Arial"/>
          <w:color w:val="1A1A1A"/>
          <w:sz w:val="22"/>
          <w:szCs w:val="22"/>
        </w:rPr>
        <w:t xml:space="preserve">Criterion editor: label, description, weight, optional anchor levels (2–6 levels, Likert-style).</w:t>
      </w:r>
    </w:p>
    <w:p>
      <w:pPr>
        <w:pStyle w:val="ListParagraph"/>
        <w:numPr>
          <w:ilvl w:val="0"/>
          <w:numId w:val="2"/>
        </w:numPr>
        <w:spacing w:after="80"/>
      </w:pPr>
      <w:r>
        <w:rPr>
          <w:rFonts w:ascii="Arial" w:cs="Arial" w:eastAsia="Arial" w:hAnsi="Arial"/>
          <w:color w:val="1A1A1A"/>
          <w:sz w:val="22"/>
          <w:szCs w:val="22"/>
        </w:rPr>
        <w:t xml:space="preserve">Preview as student: shows the rubric exactly as the student will see it.</w:t>
      </w:r>
    </w:p>
    <w:p>
      <w:pPr>
        <w:pStyle w:val="ListParagraph"/>
        <w:numPr>
          <w:ilvl w:val="0"/>
          <w:numId w:val="2"/>
        </w:numPr>
        <w:spacing w:after="80"/>
      </w:pPr>
      <w:r>
        <w:rPr>
          <w:rFonts w:ascii="Arial" w:cs="Arial" w:eastAsia="Arial" w:hAnsi="Arial"/>
          <w:color w:val="1A1A1A"/>
          <w:sz w:val="22"/>
          <w:szCs w:val="22"/>
        </w:rPr>
        <w:t xml:space="preserve">Lock on first submission graded; to edit after lock, educator clones into v2.</w:t>
      </w:r>
    </w:p>
    <w:p>
      <w:pPr>
        <w:pStyle w:val="ListParagraph"/>
        <w:numPr>
          <w:ilvl w:val="0"/>
          <w:numId w:val="2"/>
        </w:numPr>
        <w:spacing w:after="80"/>
      </w:pPr>
      <w:r>
        <w:rPr>
          <w:rFonts w:ascii="Arial" w:cs="Arial" w:eastAsia="Arial" w:hAnsi="Arial"/>
          <w:color w:val="1A1A1A"/>
          <w:sz w:val="22"/>
          <w:szCs w:val="22"/>
        </w:rPr>
        <w:t xml:space="preserve">Reusable across cohorts: one rubric → many capstone instances.</w:t>
      </w:r>
    </w:p>
    <w:p>
      <w:pPr>
        <w:pStyle w:val="Heading2"/>
        <w:spacing w:after="120" w:before="280"/>
      </w:pPr>
      <w:r>
        <w:rPr>
          <w:rFonts w:ascii="Arial" w:cs="Arial" w:eastAsia="Arial" w:hAnsi="Arial"/>
          <w:b/>
          <w:bCs/>
          <w:color w:val="1A1A1A"/>
          <w:sz w:val="28"/>
          <w:szCs w:val="28"/>
        </w:rPr>
        <w:t xml:space="preserve">8.3 Student-facing display</w:t>
      </w:r>
    </w:p>
    <w:p>
      <w:pPr>
        <w:spacing w:after="120" w:line="300"/>
      </w:pPr>
      <w:r>
        <w:rPr>
          <w:rFonts w:ascii="Arial" w:cs="Arial" w:eastAsia="Arial" w:hAnsi="Arial"/>
          <w:color w:val="1A1A1A"/>
          <w:sz w:val="22"/>
          <w:szCs w:val="22"/>
        </w:rPr>
        <w:t xml:space="preserve">Two cards side-by-side on the capstone page: School Grade (e.g. 84/100, Distinction, by Ms. Chen) and AIQ Dim Scores (e.g. 87/100, Architect, with per-dim breakdown and "Contributes to rolling AIQ +0.4"). School grade goes to transcript + certificate. AIQ feeds rolling AIQ. The two never average together — they are independent signals.</w:t>
      </w:r>
    </w:p>
    <w:p>
      <w:pPr>
        <w:pStyle w:val="Heading2"/>
        <w:spacing w:after="120" w:before="280"/>
      </w:pPr>
      <w:r>
        <w:rPr>
          <w:rFonts w:ascii="Arial" w:cs="Arial" w:eastAsia="Arial" w:hAnsi="Arial"/>
          <w:b/>
          <w:bCs/>
          <w:color w:val="1A1A1A"/>
          <w:sz w:val="28"/>
          <w:szCs w:val="28"/>
        </w:rPr>
        <w:t xml:space="preserve">8.4 LWL Default Rubric Library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000"/>
        <w:gridCol w:w="2160"/>
      </w:tblGrid>
      <w:tr>
        <w:tc>
          <w:tcPr>
            <w:tcW w:type="dxa" w:w="22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Template</w:t>
            </w:r>
          </w:p>
        </w:tc>
        <w:tc>
          <w:tcPr>
            <w:tcW w:type="dxa" w:w="50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Criteria</w:t>
            </w:r>
          </w:p>
        </w:tc>
        <w:tc>
          <w:tcPr>
            <w:tcW w:type="dxa" w:w="21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Best for</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Design Capstone</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Concept, Craft, Coherence, Critique-readiness, Presentation</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Visual / UX projects</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Business Capstone</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Problem, Market, Model, Traction, Pitch</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Founder-track capstones</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Tech Capstone</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Working Build, Code Quality, AI Use, Deployment, Documentation</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Engineering-heavy</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Social Impact</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Beneficiary, Theory of Change, Evidence, Scalability, Reflection</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Community projects</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Research</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Question, Method, Data, Analysis, Write-up</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Academic / report-style</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Build-in-Public</w:t>
            </w:r>
          </w:p>
        </w:tc>
        <w:tc>
          <w:tcPr>
            <w:tcW w:type="dxa" w:w="50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Cadence, Vulnerability, Community, Iteration, Outcome</w:t>
            </w:r>
          </w:p>
        </w:tc>
        <w:tc>
          <w:tcPr>
            <w:tcW w:type="dxa" w:w="2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Process-focused (Edge Club)</w:t>
            </w:r>
          </w:p>
        </w:tc>
      </w:tr>
    </w:tbl>
    <w:p>
      <w:pPr>
        <w:spacing w:after="120" w:line="300"/>
      </w:pPr>
      <w:r>
        <w:rPr>
          <w:rFonts w:ascii="Arial" w:cs="Arial" w:eastAsia="Arial" w:hAnsi="Arial"/>
          <w:color w:val="1A1A1A"/>
          <w:sz w:val="22"/>
          <w:szCs w:val="22"/>
        </w:rPr>
        <w:t xml:space="preserve">Each template ships with anchor descriptions for every criterion at every score band, written by LWL faculty.</w:t>
      </w:r>
    </w:p>
    <w:p>
      <w:pPr>
        <w:pStyle w:val="Heading2"/>
        <w:spacing w:after="120" w:before="280"/>
      </w:pPr>
      <w:r>
        <w:rPr>
          <w:rFonts w:ascii="Arial" w:cs="Arial" w:eastAsia="Arial" w:hAnsi="Arial"/>
          <w:b/>
          <w:bCs/>
          <w:color w:val="1A1A1A"/>
          <w:sz w:val="28"/>
          <w:szCs w:val="28"/>
        </w:rPr>
        <w:t xml:space="preserve">8.5 v2 — Mappable rubrics (deferred)</w:t>
      </w:r>
    </w:p>
    <w:p>
      <w:pPr>
        <w:spacing w:after="120" w:line="300"/>
      </w:pPr>
      <w:r>
        <w:rPr>
          <w:rFonts w:ascii="Arial" w:cs="Arial" w:eastAsia="Arial" w:hAnsi="Arial"/>
          <w:color w:val="1A1A1A"/>
          <w:sz w:val="22"/>
          <w:szCs w:val="22"/>
        </w:rPr>
        <w:t xml:space="preserve">Each rubric_criteria row gets an optional maps_to_aiq_dim column. When set, school grading on that criterion contributes proportionally to the AIQ dim — collapsing the dual-track into a single scored event. Requires careful UX so educators understand they are influencing a portable score, not just their own grade.</w:t>
      </w:r>
    </w:p>
    <w:p>
      <w:pPr>
        <w:pStyle w:val="Heading1"/>
        <w:pageBreakBefore/>
        <w:spacing w:after="180" w:before="360"/>
      </w:pPr>
      <w:r>
        <w:rPr>
          <w:rFonts w:ascii="Arial" w:cs="Arial" w:eastAsia="Arial" w:hAnsi="Arial"/>
          <w:b/>
          <w:bCs/>
          <w:color w:val="1E2761"/>
          <w:sz w:val="36"/>
          <w:szCs w:val="36"/>
        </w:rPr>
        <w:t xml:space="preserve">9. Skill Mapping</w:t>
      </w:r>
    </w:p>
    <w:p>
      <w:pPr>
        <w:spacing w:after="120" w:line="300"/>
      </w:pPr>
      <w:r>
        <w:rPr>
          <w:rFonts w:ascii="Arial" w:cs="Arial" w:eastAsia="Arial" w:hAnsi="Arial"/>
          <w:color w:val="1A1A1A"/>
          <w:sz w:val="22"/>
          <w:szCs w:val="22"/>
        </w:rPr>
        <w:t xml:space="preserve">Every project is tagged with 1–6 skills from a master taxonomy. Skills are the bridge between AIQ (a number) and a recruiter-readable narrative ("strong on AI fluency and product thinking").</w:t>
      </w:r>
    </w:p>
    <w:p>
      <w:pPr>
        <w:pStyle w:val="Heading2"/>
        <w:spacing w:after="120" w:before="280"/>
      </w:pPr>
      <w:r>
        <w:rPr>
          <w:rFonts w:ascii="Arial" w:cs="Arial" w:eastAsia="Arial" w:hAnsi="Arial"/>
          <w:b/>
          <w:bCs/>
          <w:color w:val="1A1A1A"/>
          <w:sz w:val="28"/>
          <w:szCs w:val="28"/>
        </w:rPr>
        <w:t xml:space="preserve">9.1 Master taxonomy (~40 skills, 6 families)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Family</w:t>
            </w:r>
          </w:p>
        </w:tc>
        <w:tc>
          <w:tcPr>
            <w:tcW w:type="dxa" w:w="71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Skills</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Build / Engineering</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Frontend Implementation, Backend Implementation, Database Design, API Design, Deployment &amp; DevOps, Performance Optimization, Debugging</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Product Thinking</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User Research, Problem Framing, Feature Scoping, Roadmapping, Trade-off Reasoning, Metrics Definition, Prioritization</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AI Fluency</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Prompt Engineering, Model Selection, Output Verification, Tool Chaining, AI Ethics in Practice, Cost &amp; Latency Reasoning, Eval Design</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Communication</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Written Reflection, Pitch Delivery, Demo Recording, Documentation, Storytelling, Visual Explanation</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Research</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Literature Review, User Interviewing, Data Analysis, Market Sizing, Competitive Analysis, Hypothesis Design</w:t>
            </w:r>
          </w:p>
        </w:tc>
      </w:tr>
      <w:tr>
        <w:tc>
          <w:tcPr>
            <w:tcW w:type="dxa" w:w="22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Collaboration</w:t>
            </w:r>
          </w:p>
        </w:tc>
        <w:tc>
          <w:tcPr>
            <w:tcW w:type="dxa" w:w="71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Async Coordination, Code Review, Mentor-feedback Integration, Cohort Engagement, Conflict Navigation, Open-source Contribution</w:t>
            </w:r>
          </w:p>
        </w:tc>
      </w:tr>
    </w:tbl>
    <w:p>
      <w:pPr>
        <w:pStyle w:val="Heading2"/>
        <w:spacing w:after="120" w:before="280"/>
      </w:pPr>
      <w:r>
        <w:rPr>
          <w:rFonts w:ascii="Arial" w:cs="Arial" w:eastAsia="Arial" w:hAnsi="Arial"/>
          <w:b/>
          <w:bCs/>
          <w:color w:val="1A1A1A"/>
          <w:sz w:val="28"/>
          <w:szCs w:val="28"/>
        </w:rPr>
        <w:t xml:space="preserve">9.2 Skill → AIQ Dim Contribution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Family</w:t>
            </w:r>
          </w:p>
        </w:tc>
        <w:tc>
          <w:tcPr>
            <w:tcW w:type="dxa" w:w="328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Primary dim</w:t>
            </w:r>
          </w:p>
        </w:tc>
        <w:tc>
          <w:tcPr>
            <w:tcW w:type="dxa" w:w="328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Secondary dim</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Build / Engineering</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Artifact Integrity</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AI Judgment</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Product Thinking</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Problem Precision</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Original Insight</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AI Fluency</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AI Judgment</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Artifact Integrity</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Communication</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Reflective Depth</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Original Insight</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Research</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Problem Precision</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Reflective Depth</w:t>
            </w:r>
          </w:p>
        </w:tc>
      </w:tr>
      <w:tr>
        <w:tc>
          <w:tcPr>
            <w:tcW w:type="dxa" w:w="28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Collaboration</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Reflective Depth</w:t>
            </w:r>
          </w:p>
        </w:tc>
        <w:tc>
          <w:tcPr>
            <w:tcW w:type="dxa" w:w="32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w:t>
            </w:r>
          </w:p>
        </w:tc>
      </w:tr>
    </w:tbl>
    <w:p>
      <w:pPr>
        <w:pStyle w:val="Heading2"/>
        <w:spacing w:after="120" w:before="280"/>
      </w:pPr>
      <w:r>
        <w:rPr>
          <w:rFonts w:ascii="Arial" w:cs="Arial" w:eastAsia="Arial" w:hAnsi="Arial"/>
          <w:b/>
          <w:bCs/>
          <w:color w:val="1A1A1A"/>
          <w:sz w:val="28"/>
          <w:szCs w:val="28"/>
        </w:rPr>
        <w:t xml:space="preserve">9.3 Tagging flow</w:t>
      </w:r>
    </w:p>
    <w:p>
      <w:pPr>
        <w:pStyle w:val="ListParagraph"/>
        <w:numPr>
          <w:ilvl w:val="0"/>
          <w:numId w:val="2"/>
        </w:numPr>
        <w:spacing w:after="80"/>
      </w:pPr>
      <w:r>
        <w:rPr>
          <w:rFonts w:ascii="Arial" w:cs="Arial" w:eastAsia="Arial" w:hAnsi="Arial"/>
          <w:color w:val="1A1A1A"/>
          <w:sz w:val="22"/>
          <w:szCs w:val="22"/>
        </w:rPr>
        <w:t xml:space="preserve">Auto-suggest at submission: council reads artifact + reflection, proposes 3–6 skill tags with confidence.</w:t>
      </w:r>
    </w:p>
    <w:p>
      <w:pPr>
        <w:pStyle w:val="ListParagraph"/>
        <w:numPr>
          <w:ilvl w:val="0"/>
          <w:numId w:val="2"/>
        </w:numPr>
        <w:spacing w:after="80"/>
      </w:pPr>
      <w:r>
        <w:rPr>
          <w:rFonts w:ascii="Arial" w:cs="Arial" w:eastAsia="Arial" w:hAnsi="Arial"/>
          <w:color w:val="1A1A1A"/>
          <w:sz w:val="22"/>
          <w:szCs w:val="22"/>
        </w:rPr>
        <w:t xml:space="preserve">Builder confirms or edits. Cap at 6.</w:t>
      </w:r>
    </w:p>
    <w:p>
      <w:pPr>
        <w:pStyle w:val="ListParagraph"/>
        <w:numPr>
          <w:ilvl w:val="0"/>
          <w:numId w:val="2"/>
        </w:numPr>
        <w:spacing w:after="80"/>
      </w:pPr>
      <w:r>
        <w:rPr>
          <w:rFonts w:ascii="Arial" w:cs="Arial" w:eastAsia="Arial" w:hAnsi="Arial"/>
          <w:color w:val="1A1A1A"/>
          <w:sz w:val="22"/>
          <w:szCs w:val="22"/>
        </w:rPr>
        <w:t xml:space="preserve">Mentor review: approved tags get a verified badge.</w:t>
      </w:r>
    </w:p>
    <w:p>
      <w:pPr>
        <w:pStyle w:val="ListParagraph"/>
        <w:numPr>
          <w:ilvl w:val="0"/>
          <w:numId w:val="2"/>
        </w:numPr>
        <w:spacing w:after="80"/>
      </w:pPr>
      <w:r>
        <w:rPr>
          <w:rFonts w:ascii="Arial" w:cs="Arial" w:eastAsia="Arial" w:hAnsi="Arial"/>
          <w:color w:val="1A1A1A"/>
          <w:sz w:val="22"/>
          <w:szCs w:val="22"/>
        </w:rPr>
        <w:t xml:space="preserve">Aggregation: profile shows top 5 by frequency × mean dim contribution over the last 90 days.</w:t>
      </w:r>
    </w:p>
    <w:p>
      <w:pPr>
        <w:pStyle w:val="Heading2"/>
        <w:spacing w:after="120" w:before="280"/>
      </w:pPr>
      <w:r>
        <w:rPr>
          <w:rFonts w:ascii="Arial" w:cs="Arial" w:eastAsia="Arial" w:hAnsi="Arial"/>
          <w:b/>
          <w:bCs/>
          <w:color w:val="1A1A1A"/>
          <w:sz w:val="28"/>
          <w:szCs w:val="28"/>
        </w:rPr>
        <w:t xml:space="preserve">9.4 Recruiter-readable export</w:t>
      </w:r>
    </w:p>
    <w:p>
      <w:pPr>
        <w:spacing w:after="120" w:line="300"/>
      </w:pPr>
      <w:r>
        <w:rPr>
          <w:rFonts w:ascii="Arial" w:cs="Arial" w:eastAsia="Arial" w:hAnsi="Arial"/>
          <w:color w:val="1A1A1A"/>
          <w:sz w:val="22"/>
          <w:szCs w:val="22"/>
        </w:rPr>
        <w:t xml:space="preserve">Public profile emits JSON-LD using schema.org Person + DefinedTerm with stable termCode values like "AI-FLUENCY/PROMPT-ENG". LinkedIn, Greenhouse, and similar systems can ingest this. Term codes are stable across rubric versions.</w:t>
      </w:r>
    </w:p>
    <w:p>
      <w:pPr>
        <w:pStyle w:val="Heading1"/>
        <w:pageBreakBefore/>
        <w:spacing w:after="180" w:before="360"/>
      </w:pPr>
      <w:r>
        <w:rPr>
          <w:rFonts w:ascii="Arial" w:cs="Arial" w:eastAsia="Arial" w:hAnsi="Arial"/>
          <w:b/>
          <w:bCs/>
          <w:color w:val="1E2761"/>
          <w:sz w:val="36"/>
          <w:szCs w:val="36"/>
        </w:rPr>
        <w:t xml:space="preserve">10. PII, Fairness, and Appeals</w:t>
      </w:r>
    </w:p>
    <w:p>
      <w:pPr>
        <w:pStyle w:val="Heading2"/>
        <w:spacing w:after="120" w:before="280"/>
      </w:pPr>
      <w:r>
        <w:rPr>
          <w:rFonts w:ascii="Arial" w:cs="Arial" w:eastAsia="Arial" w:hAnsi="Arial"/>
          <w:b/>
          <w:bCs/>
          <w:color w:val="1A1A1A"/>
          <w:sz w:val="28"/>
          <w:szCs w:val="28"/>
        </w:rPr>
        <w:t xml:space="preserve">10.1 PII handling in council prompts</w:t>
      </w:r>
    </w:p>
    <w:p>
      <w:pPr>
        <w:pStyle w:val="ListParagraph"/>
        <w:numPr>
          <w:ilvl w:val="0"/>
          <w:numId w:val="2"/>
        </w:numPr>
        <w:spacing w:after="80"/>
      </w:pPr>
      <w:r>
        <w:rPr>
          <w:rFonts w:ascii="Arial" w:cs="Arial" w:eastAsia="Arial" w:hAnsi="Arial"/>
          <w:color w:val="1A1A1A"/>
          <w:sz w:val="22"/>
          <w:szCs w:val="22"/>
        </w:rPr>
        <w:t xml:space="preserve">Names redacted before the artifact is sent to the LLM. Replaced with [BUILDER].</w:t>
      </w:r>
    </w:p>
    <w:p>
      <w:pPr>
        <w:pStyle w:val="ListParagraph"/>
        <w:numPr>
          <w:ilvl w:val="0"/>
          <w:numId w:val="2"/>
        </w:numPr>
        <w:spacing w:after="80"/>
      </w:pPr>
      <w:r>
        <w:rPr>
          <w:rFonts w:ascii="Arial" w:cs="Arial" w:eastAsia="Arial" w:hAnsi="Arial"/>
          <w:color w:val="1A1A1A"/>
          <w:sz w:val="22"/>
          <w:szCs w:val="22"/>
        </w:rPr>
        <w:t xml:space="preserve">Demographic features (age, gender, nationality, school) never appear in scoring prompts.</w:t>
      </w:r>
    </w:p>
    <w:p>
      <w:pPr>
        <w:pStyle w:val="ListParagraph"/>
        <w:numPr>
          <w:ilvl w:val="0"/>
          <w:numId w:val="2"/>
        </w:numPr>
        <w:spacing w:after="80"/>
      </w:pPr>
      <w:r>
        <w:rPr>
          <w:rFonts w:ascii="Arial" w:cs="Arial" w:eastAsia="Arial" w:hAnsi="Arial"/>
          <w:color w:val="1A1A1A"/>
          <w:sz w:val="22"/>
          <w:szCs w:val="22"/>
        </w:rPr>
        <w:t xml:space="preserve">Profile photos never sent to scoring models.</w:t>
      </w:r>
    </w:p>
    <w:p>
      <w:pPr>
        <w:pStyle w:val="ListParagraph"/>
        <w:numPr>
          <w:ilvl w:val="0"/>
          <w:numId w:val="2"/>
        </w:numPr>
        <w:spacing w:after="80"/>
      </w:pPr>
      <w:r>
        <w:rPr>
          <w:rFonts w:ascii="Arial" w:cs="Arial" w:eastAsia="Arial" w:hAnsi="Arial"/>
          <w:color w:val="1A1A1A"/>
          <w:sz w:val="22"/>
          <w:szCs w:val="22"/>
        </w:rPr>
        <w:t xml:space="preserve">Inputs to scoring: artifact URL/content, problem statement, reflection text, AI-use disclosure, declared project type.</w:t>
      </w:r>
    </w:p>
    <w:p>
      <w:pPr>
        <w:pStyle w:val="Heading2"/>
        <w:spacing w:after="120" w:before="280"/>
      </w:pPr>
      <w:r>
        <w:rPr>
          <w:rFonts w:ascii="Arial" w:cs="Arial" w:eastAsia="Arial" w:hAnsi="Arial"/>
          <w:b/>
          <w:bCs/>
          <w:color w:val="1A1A1A"/>
          <w:sz w:val="28"/>
          <w:szCs w:val="28"/>
        </w:rPr>
        <w:t xml:space="preserve">10.2 Fairness checks</w:t>
      </w:r>
    </w:p>
    <w:p>
      <w:pPr>
        <w:pStyle w:val="ListParagraph"/>
        <w:numPr>
          <w:ilvl w:val="0"/>
          <w:numId w:val="2"/>
        </w:numPr>
        <w:spacing w:after="80"/>
      </w:pPr>
      <w:r>
        <w:rPr>
          <w:rFonts w:ascii="Arial" w:cs="Arial" w:eastAsia="Arial" w:hAnsi="Arial"/>
          <w:color w:val="1A1A1A"/>
          <w:sz w:val="22"/>
          <w:szCs w:val="22"/>
        </w:rPr>
        <w:t xml:space="preserve">Per-cohort score distribution monitored monthly. Outlier cohorts (mean ±1.5σ from platform mean) trigger review.</w:t>
      </w:r>
    </w:p>
    <w:p>
      <w:pPr>
        <w:pStyle w:val="ListParagraph"/>
        <w:numPr>
          <w:ilvl w:val="0"/>
          <w:numId w:val="2"/>
        </w:numPr>
        <w:spacing w:after="80"/>
      </w:pPr>
      <w:r>
        <w:rPr>
          <w:rFonts w:ascii="Arial" w:cs="Arial" w:eastAsia="Arial" w:hAnsi="Arial"/>
          <w:color w:val="1A1A1A"/>
          <w:sz w:val="22"/>
          <w:szCs w:val="22"/>
        </w:rPr>
        <w:t xml:space="preserve">A/B comparison: same artifact submitted by builders from different programs should yield the same dim scores within ±3 points.</w:t>
      </w:r>
    </w:p>
    <w:p>
      <w:pPr>
        <w:pStyle w:val="ListParagraph"/>
        <w:numPr>
          <w:ilvl w:val="0"/>
          <w:numId w:val="2"/>
        </w:numPr>
        <w:spacing w:after="80"/>
      </w:pPr>
      <w:r>
        <w:rPr>
          <w:rFonts w:ascii="Arial" w:cs="Arial" w:eastAsia="Arial" w:hAnsi="Arial"/>
          <w:color w:val="1A1A1A"/>
          <w:sz w:val="22"/>
          <w:szCs w:val="22"/>
        </w:rPr>
        <w:t xml:space="preserve">Quarterly bias audit: 100 random projects reviewed by a 3-person human panel; results published on the methodology page.</w:t>
      </w:r>
    </w:p>
    <w:p>
      <w:pPr>
        <w:pStyle w:val="Heading2"/>
        <w:spacing w:after="120" w:before="280"/>
      </w:pPr>
      <w:r>
        <w:rPr>
          <w:rFonts w:ascii="Arial" w:cs="Arial" w:eastAsia="Arial" w:hAnsi="Arial"/>
          <w:b/>
          <w:bCs/>
          <w:color w:val="1A1A1A"/>
          <w:sz w:val="28"/>
          <w:szCs w:val="28"/>
        </w:rPr>
        <w:t xml:space="preserve">10.3 Appeal process</w:t>
      </w:r>
    </w:p>
    <w:p>
      <w:pPr>
        <w:spacing w:after="120" w:line="300"/>
      </w:pPr>
      <w:r>
        <w:rPr>
          <w:rFonts w:ascii="Arial" w:cs="Arial" w:eastAsia="Arial" w:hAnsi="Arial"/>
          <w:color w:val="1A1A1A"/>
          <w:sz w:val="22"/>
          <w:szCs w:val="22"/>
        </w:rPr>
        <w:t xml:space="preserve">1. Builder clicks "Appeal this score" on their dashboard. Picks the dim(s) they are disputing and writes a 200-char justification.</w:t>
      </w:r>
    </w:p>
    <w:p>
      <w:pPr>
        <w:spacing w:after="120" w:line="300"/>
      </w:pPr>
      <w:r>
        <w:rPr>
          <w:rFonts w:ascii="Arial" w:cs="Arial" w:eastAsia="Arial" w:hAnsi="Arial"/>
          <w:color w:val="1A1A1A"/>
          <w:sz w:val="22"/>
          <w:szCs w:val="22"/>
        </w:rPr>
        <w:t xml:space="preserve">2. Score is frozen (visible to builder, hidden from public profile and rolling AIQ) within 1 hour.</w:t>
      </w:r>
    </w:p>
    <w:p>
      <w:pPr>
        <w:spacing w:after="120" w:line="300"/>
      </w:pPr>
      <w:r>
        <w:rPr>
          <w:rFonts w:ascii="Arial" w:cs="Arial" w:eastAsia="Arial" w:hAnsi="Arial"/>
          <w:color w:val="1A1A1A"/>
          <w:sz w:val="22"/>
          <w:szCs w:val="22"/>
        </w:rPr>
        <w:t xml:space="preserve">3. Mentor (different from any prior reviewer) is auto-assigned. 3-day SLA.</w:t>
      </w:r>
    </w:p>
    <w:p>
      <w:pPr>
        <w:spacing w:after="120" w:line="300"/>
      </w:pPr>
      <w:r>
        <w:rPr>
          <w:rFonts w:ascii="Arial" w:cs="Arial" w:eastAsia="Arial" w:hAnsi="Arial"/>
          <w:color w:val="1A1A1A"/>
          <w:sz w:val="22"/>
          <w:szCs w:val="22"/>
        </w:rPr>
        <w:t xml:space="preserve">4. Mentor decision: uphold, partial adjust, full re-grade. Written reasoning required.</w:t>
      </w:r>
    </w:p>
    <w:p>
      <w:pPr>
        <w:spacing w:after="120" w:line="300"/>
      </w:pPr>
      <w:r>
        <w:rPr>
          <w:rFonts w:ascii="Arial" w:cs="Arial" w:eastAsia="Arial" w:hAnsi="Arial"/>
          <w:color w:val="1A1A1A"/>
          <w:sz w:val="22"/>
          <w:szCs w:val="22"/>
        </w:rPr>
        <w:t xml:space="preserve">5. If adjusted, new score replaces the old in rolling AIQ; original preserved in audit log.</w:t>
      </w:r>
    </w:p>
    <w:p>
      <w:pPr>
        <w:spacing w:after="120" w:line="300"/>
      </w:pPr>
      <w:r>
        <w:rPr>
          <w:rFonts w:ascii="Arial" w:cs="Arial" w:eastAsia="Arial" w:hAnsi="Arial"/>
          <w:color w:val="1A1A1A"/>
          <w:sz w:val="22"/>
          <w:szCs w:val="22"/>
        </w:rPr>
        <w:t xml:space="preserve">6. Builder may escalate once to AIQ council human review (5-day SLA, final).</w:t>
      </w:r>
    </w:p>
    <w:p>
      <w:pPr>
        <w:spacing w:after="120" w:line="300"/>
      </w:pPr>
      <w:r>
        <w:rPr>
          <w:rFonts w:ascii="Arial" w:cs="Arial" w:eastAsia="Arial" w:hAnsi="Arial"/>
          <w:color w:val="1A1A1A"/>
          <w:sz w:val="22"/>
          <w:szCs w:val="22"/>
        </w:rPr>
        <w:t xml:space="preserve">Appeal rate published per-cohort. Cohorts with appeal rate &gt;15% trigger educator-facing review.</w:t>
      </w:r>
    </w:p>
    <w:p>
      <w:pPr>
        <w:pStyle w:val="Heading1"/>
        <w:pageBreakBefore/>
        <w:spacing w:after="180" w:before="360"/>
      </w:pPr>
      <w:r>
        <w:rPr>
          <w:rFonts w:ascii="Arial" w:cs="Arial" w:eastAsia="Arial" w:hAnsi="Arial"/>
          <w:b/>
          <w:bCs/>
          <w:color w:val="1E2761"/>
          <w:sz w:val="36"/>
          <w:szCs w:val="36"/>
        </w:rPr>
        <w:t xml:space="preserve">11. Telemetry</w:t>
      </w:r>
    </w:p>
    <w:p>
      <w:pPr>
        <w:spacing w:after="120" w:line="300"/>
      </w:pPr>
      <w:r>
        <w:rPr>
          <w:rFonts w:ascii="Arial" w:cs="Arial" w:eastAsia="Arial" w:hAnsi="Arial"/>
          <w:color w:val="1A1A1A"/>
          <w:sz w:val="22"/>
          <w:szCs w:val="22"/>
        </w:rPr>
        <w:t xml:space="preserve">Tracked at platform level for ops + published on the methodology page (aggregated, not individual):</w:t>
      </w:r>
    </w:p>
    <w:p>
      <w:pPr>
        <w:pStyle w:val="ListParagraph"/>
        <w:numPr>
          <w:ilvl w:val="0"/>
          <w:numId w:val="2"/>
        </w:numPr>
        <w:spacing w:after="80"/>
      </w:pPr>
      <w:r>
        <w:rPr>
          <w:rFonts w:ascii="Arial" w:cs="Arial" w:eastAsia="Arial" w:hAnsi="Arial"/>
          <w:color w:val="1A1A1A"/>
          <w:sz w:val="22"/>
          <w:szCs w:val="22"/>
        </w:rPr>
        <w:t xml:space="preserve">Score distributions per program, cohort, band — histograms updated weekly.</w:t>
      </w:r>
    </w:p>
    <w:p>
      <w:pPr>
        <w:pStyle w:val="ListParagraph"/>
        <w:numPr>
          <w:ilvl w:val="0"/>
          <w:numId w:val="2"/>
        </w:numPr>
        <w:spacing w:after="80"/>
      </w:pPr>
      <w:r>
        <w:rPr>
          <w:rFonts w:ascii="Arial" w:cs="Arial" w:eastAsia="Arial" w:hAnsi="Arial"/>
          <w:color w:val="1A1A1A"/>
          <w:sz w:val="22"/>
          <w:szCs w:val="22"/>
        </w:rPr>
        <w:t xml:space="preserve">Dimension drift — monthly drift sample (§7.5).</w:t>
      </w:r>
    </w:p>
    <w:p>
      <w:pPr>
        <w:pStyle w:val="ListParagraph"/>
        <w:numPr>
          <w:ilvl w:val="0"/>
          <w:numId w:val="2"/>
        </w:numPr>
        <w:spacing w:after="80"/>
      </w:pPr>
      <w:r>
        <w:rPr>
          <w:rFonts w:ascii="Arial" w:cs="Arial" w:eastAsia="Arial" w:hAnsi="Arial"/>
          <w:color w:val="1A1A1A"/>
          <w:sz w:val="22"/>
          <w:szCs w:val="22"/>
        </w:rPr>
        <w:t xml:space="preserve">Appeal rate — overall + by program, target &lt;8%.</w:t>
      </w:r>
    </w:p>
    <w:p>
      <w:pPr>
        <w:pStyle w:val="ListParagraph"/>
        <w:numPr>
          <w:ilvl w:val="0"/>
          <w:numId w:val="2"/>
        </w:numPr>
        <w:spacing w:after="80"/>
      </w:pPr>
      <w:r>
        <w:rPr>
          <w:rFonts w:ascii="Arial" w:cs="Arial" w:eastAsia="Arial" w:hAnsi="Arial"/>
          <w:color w:val="1A1A1A"/>
          <w:sz w:val="22"/>
          <w:szCs w:val="22"/>
        </w:rPr>
        <w:t xml:space="preserve">Mentor-override rate — overall + by mentor, target 5–15% (too low = rubber-stamp, too high = AI not trusted).</w:t>
      </w:r>
    </w:p>
    <w:p>
      <w:pPr>
        <w:pStyle w:val="ListParagraph"/>
        <w:numPr>
          <w:ilvl w:val="0"/>
          <w:numId w:val="2"/>
        </w:numPr>
        <w:spacing w:after="80"/>
      </w:pPr>
      <w:r>
        <w:rPr>
          <w:rFonts w:ascii="Arial" w:cs="Arial" w:eastAsia="Arial" w:hAnsi="Arial"/>
          <w:color w:val="1A1A1A"/>
          <w:sz w:val="22"/>
          <w:szCs w:val="22"/>
        </w:rPr>
        <w:t xml:space="preserve">Time-to-first-score for new builders — target &lt;72h from first submission.</w:t>
      </w:r>
    </w:p>
    <w:p>
      <w:pPr>
        <w:pStyle w:val="ListParagraph"/>
        <w:numPr>
          <w:ilvl w:val="0"/>
          <w:numId w:val="2"/>
        </w:numPr>
        <w:spacing w:after="80"/>
      </w:pPr>
      <w:r>
        <w:rPr>
          <w:rFonts w:ascii="Arial" w:cs="Arial" w:eastAsia="Arial" w:hAnsi="Arial"/>
          <w:color w:val="1A1A1A"/>
          <w:sz w:val="22"/>
          <w:szCs w:val="22"/>
        </w:rPr>
        <w:t xml:space="preserve">Confidence-flag rate — % of submissions hitting human-review-required, target &lt;10%.</w:t>
      </w:r>
    </w:p>
    <w:p>
      <w:pPr>
        <w:pStyle w:val="ListParagraph"/>
        <w:numPr>
          <w:ilvl w:val="0"/>
          <w:numId w:val="2"/>
        </w:numPr>
        <w:spacing w:after="80"/>
      </w:pPr>
      <w:r>
        <w:rPr>
          <w:rFonts w:ascii="Arial" w:cs="Arial" w:eastAsia="Arial" w:hAnsi="Arial"/>
          <w:color w:val="1A1A1A"/>
          <w:sz w:val="22"/>
          <w:szCs w:val="22"/>
        </w:rPr>
        <w:t xml:space="preserve">Skill diversity — Gini coefficient across the skill taxonomy, watching for over-concentration.</w:t>
      </w:r>
    </w:p>
    <w:p>
      <w:pPr>
        <w:spacing w:after="120" w:line="300"/>
      </w:pPr>
      <w:r>
        <w:rPr>
          <w:rFonts w:ascii="Arial" w:cs="Arial" w:eastAsia="Arial" w:hAnsi="Arial"/>
          <w:color w:val="1A1A1A"/>
          <w:sz w:val="22"/>
          <w:szCs w:val="22"/>
        </w:rPr>
        <w:t xml:space="preserve">Per-builder telemetry stays private to the builder + their mentors.</w:t>
      </w:r>
    </w:p>
    <w:p>
      <w:pPr>
        <w:pStyle w:val="Heading1"/>
        <w:pageBreakBefore/>
        <w:spacing w:after="180" w:before="360"/>
      </w:pPr>
      <w:r>
        <w:rPr>
          <w:rFonts w:ascii="Arial" w:cs="Arial" w:eastAsia="Arial" w:hAnsi="Arial"/>
          <w:b/>
          <w:bCs/>
          <w:color w:val="1E2761"/>
          <w:sz w:val="36"/>
          <w:szCs w:val="36"/>
        </w:rPr>
        <w:t xml:space="preserve">12. Open Questions and v2 Follow-ups</w:t>
      </w:r>
    </w:p>
    <w:p>
      <w:pPr>
        <w:pStyle w:val="ListParagraph"/>
        <w:numPr>
          <w:ilvl w:val="0"/>
          <w:numId w:val="2"/>
        </w:numPr>
        <w:spacing w:after="80"/>
      </w:pPr>
      <w:r>
        <w:rPr>
          <w:rFonts w:ascii="Arial" w:cs="Arial" w:eastAsia="Arial" w:hAnsi="Arial"/>
          <w:color w:val="1A1A1A"/>
          <w:sz w:val="22"/>
          <w:szCs w:val="22"/>
        </w:rPr>
        <w:t xml:space="preserve">Mappable school rubrics (§8.5) — cleanest UX long-term, needs careful educator onboarding.</w:t>
      </w:r>
    </w:p>
    <w:p>
      <w:pPr>
        <w:pStyle w:val="ListParagraph"/>
        <w:numPr>
          <w:ilvl w:val="0"/>
          <w:numId w:val="2"/>
        </w:numPr>
        <w:spacing w:after="80"/>
      </w:pPr>
      <w:r>
        <w:rPr>
          <w:rFonts w:ascii="Arial" w:cs="Arial" w:eastAsia="Arial" w:hAnsi="Arial"/>
          <w:color w:val="1A1A1A"/>
          <w:sz w:val="22"/>
          <w:szCs w:val="22"/>
        </w:rPr>
        <w:t xml:space="preserve">Multi-language rubric anchors — current spec is English-only. Hindi, Arabic, Mandarin needed before international rollout.</w:t>
      </w:r>
    </w:p>
    <w:p>
      <w:pPr>
        <w:pStyle w:val="ListParagraph"/>
        <w:numPr>
          <w:ilvl w:val="0"/>
          <w:numId w:val="2"/>
        </w:numPr>
        <w:spacing w:after="80"/>
      </w:pPr>
      <w:r>
        <w:rPr>
          <w:rFonts w:ascii="Arial" w:cs="Arial" w:eastAsia="Arial" w:hAnsi="Arial"/>
          <w:color w:val="1A1A1A"/>
          <w:sz w:val="22"/>
          <w:szCs w:val="22"/>
        </w:rPr>
        <w:t xml:space="preserve">Sponsor-defined bounty rubrics — should plug into the same flexible-rubric infrastructure as schools.</w:t>
      </w:r>
    </w:p>
    <w:p>
      <w:pPr>
        <w:pStyle w:val="ListParagraph"/>
        <w:numPr>
          <w:ilvl w:val="0"/>
          <w:numId w:val="2"/>
        </w:numPr>
        <w:spacing w:after="80"/>
      </w:pPr>
      <w:r>
        <w:rPr>
          <w:rFonts w:ascii="Arial" w:cs="Arial" w:eastAsia="Arial" w:hAnsi="Arial"/>
          <w:color w:val="1A1A1A"/>
          <w:sz w:val="22"/>
          <w:szCs w:val="22"/>
        </w:rPr>
        <w:t xml:space="preserve">5-axis radar — currently we project 5 dims onto 4 lenses. After 90 days of v2, revisit native 5-axis.</w:t>
      </w:r>
    </w:p>
    <w:p>
      <w:pPr>
        <w:pStyle w:val="ListParagraph"/>
        <w:numPr>
          <w:ilvl w:val="0"/>
          <w:numId w:val="2"/>
        </w:numPr>
        <w:spacing w:after="80"/>
      </w:pPr>
      <w:r>
        <w:rPr>
          <w:rFonts w:ascii="Arial" w:cs="Arial" w:eastAsia="Arial" w:hAnsi="Arial"/>
          <w:color w:val="1A1A1A"/>
          <w:sz w:val="22"/>
          <w:szCs w:val="22"/>
        </w:rPr>
        <w:t xml:space="preserve">Public methodology page versioning — render current rubric AND let visitors view archived prior versions.</w:t>
      </w:r>
    </w:p>
    <w:p>
      <w:pPr>
        <w:pStyle w:val="ListParagraph"/>
        <w:numPr>
          <w:ilvl w:val="0"/>
          <w:numId w:val="2"/>
        </w:numPr>
        <w:spacing w:after="80"/>
      </w:pPr>
      <w:r>
        <w:rPr>
          <w:rFonts w:ascii="Arial" w:cs="Arial" w:eastAsia="Arial" w:hAnsi="Arial"/>
          <w:color w:val="1A1A1A"/>
          <w:sz w:val="22"/>
          <w:szCs w:val="22"/>
        </w:rPr>
        <w:t xml:space="preserve">Council voice weighting refinement — currently median-of-voices. After 500+ scores, evaluate weighted-mean.</w:t>
      </w:r>
    </w:p>
    <w:p>
      <w:pPr>
        <w:pStyle w:val="ListParagraph"/>
        <w:numPr>
          <w:ilvl w:val="0"/>
          <w:numId w:val="2"/>
        </w:numPr>
        <w:spacing w:after="80"/>
      </w:pPr>
      <w:r>
        <w:rPr>
          <w:rFonts w:ascii="Arial" w:cs="Arial" w:eastAsia="Arial" w:hAnsi="Arial"/>
          <w:color w:val="1A1A1A"/>
          <w:sz w:val="22"/>
          <w:szCs w:val="22"/>
        </w:rPr>
        <w:t xml:space="preserve">Builder-led re-tagging — should builders edit project skill tags after grading? Currently locked.</w:t>
      </w:r>
    </w:p>
    <w:p>
      <w:pPr>
        <w:pStyle w:val="Heading1"/>
        <w:pageBreakBefore/>
        <w:spacing w:after="180" w:before="360"/>
      </w:pPr>
      <w:r>
        <w:rPr>
          <w:rFonts w:ascii="Arial" w:cs="Arial" w:eastAsia="Arial" w:hAnsi="Arial"/>
          <w:b/>
          <w:bCs/>
          <w:color w:val="1E2761"/>
          <w:sz w:val="36"/>
          <w:szCs w:val="36"/>
        </w:rPr>
        <w:t xml:space="preserve">Appendix A —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Term</w:t>
            </w:r>
          </w:p>
        </w:tc>
        <w:tc>
          <w:tcPr>
            <w:tcW w:type="dxa" w:w="696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Definition</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Dim</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One of the 5 dimensions (Artifact Integrity, Problem Precision, AI Judgment, Reflective Depth, Original Insight). Scored 0–20.</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Lens</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One of the 4 legacy projections (Design, Business, Tech, Content). Derived from dims via fixed matrix (§6).</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Voice</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One of 5 council perspectives (Tech, Strategy, Business, Impact, Design). Each project scored by 3 voices.</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Band</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One of 5 score tiers (Explorer → Founder-grade).</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Track</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 program affiliation (TEO, NBL, Edge Club, FDF, WLA) that applies dim weights.</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Rolling AIQ</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Number on a public profile; trailing 90-day weighted average across that builder's project scores.</w:t>
            </w:r>
          </w:p>
        </w:tc>
      </w:tr>
      <w:tr>
        <w:tc>
          <w:tcPr>
            <w:tcW w:type="dxa" w:w="240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AIQ_RUBRIC_VERSION</w:t>
            </w:r>
          </w:p>
        </w:tc>
        <w:tc>
          <w:tcPr>
            <w:tcW w:type="dxa" w:w="696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Semver of this spec. Stamped on every score record. Currently 2.0.0.</w:t>
            </w:r>
          </w:p>
        </w:tc>
      </w:tr>
    </w:tbl>
    <w:p>
      <w:pPr>
        <w:pStyle w:val="Heading1"/>
        <w:pageBreakBefore/>
        <w:spacing w:after="180" w:before="360"/>
      </w:pPr>
      <w:r>
        <w:rPr>
          <w:rFonts w:ascii="Arial" w:cs="Arial" w:eastAsia="Arial" w:hAnsi="Arial"/>
          <w:b/>
          <w:bCs/>
          <w:color w:val="1E2761"/>
          <w:sz w:val="36"/>
          <w:szCs w:val="36"/>
        </w:rPr>
        <w:t xml:space="preserve">Appendix B — What Changed from v1 (AJIR)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v1 (AJIR, deprecated)</w:t>
            </w:r>
          </w:p>
        </w:tc>
        <w:tc>
          <w:tcPr>
            <w:tcW w:type="dxa" w:w="4680"/>
            <w:tcBorders>
              <w:top w:val="single" w:color="BFBFBF" w:sz="4"/>
              <w:left w:val="single" w:color="BFBFBF" w:sz="4"/>
              <w:bottom w:val="single" w:color="BFBFBF" w:sz="4"/>
              <w:right w:val="single" w:color="BFBFBF" w:sz="4"/>
            </w:tcBorders>
            <w:shd w:fill="E8ECF4" w:color="auto" w:val="clear"/>
            <w:tcMar>
              <w:top w:type="dxa" w:w="80"/>
              <w:left w:type="dxa" w:w="120"/>
              <w:bottom w:type="dxa" w:w="80"/>
              <w:right w:type="dxa" w:w="120"/>
            </w:tcMar>
          </w:tcPr>
          <w:p>
            <w:r>
              <w:rPr>
                <w:rFonts w:ascii="Arial" w:cs="Arial" w:eastAsia="Arial" w:hAnsi="Arial"/>
                <w:b/>
                <w:bCs/>
                <w:color w:val="1A1A1A"/>
                <w:sz w:val="20"/>
                <w:szCs w:val="20"/>
              </w:rPr>
              <w:t xml:space="preserve">v2 (this doc)</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4 lenses (Design, Business, Tech, Content) as primary scoring axis</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5 dims as primary axis; lenses are derived</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4 AJIR pillars (Applied, Judgment, Impact, Responsible)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Folded into the 5-dim rubric</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Tiers: Apprentice / Practitioner / Operator / Architect / Pioneer</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Bands: Explorer / Builder / Maker / Architect / Founder-grade</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Single-shot score per critique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90-day weighted rolling average</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No formal regrade-stability rules</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§7 trust contract</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No formal council selection</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§4 voice selection by project type</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Capstone rubric = single fixed scheme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§8 flexible school-owned rubrics, dual-track</w:t>
            </w:r>
          </w:p>
        </w:tc>
      </w:tr>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No skill taxonomy</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rFonts w:ascii="Arial" w:cs="Arial" w:eastAsia="Arial" w:hAnsi="Arial"/>
                <w:b w:val="false"/>
                <w:bCs w:val="false"/>
                <w:color w:val="1A1A1A"/>
                <w:sz w:val="20"/>
                <w:szCs w:val="20"/>
              </w:rPr>
              <w:t xml:space="preserve">§9 40-skill taxonomy with JSON-LD export</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8"/>
        <w:szCs w:val="18"/>
      </w:rPr>
      <w:t xml:space="preserve">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555555"/>
        <w:sz w:val="18"/>
        <w:szCs w:val="18"/>
      </w:rPr>
      <w:t xml:space="preserve">AIQ v2.0.0 — LWL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AIQ v2 — Methodology, Regrade-Stability &amp; Flexible Capstone</dc:title>
  <dc:creator>LWL Platform</dc:creator>
  <cp:lastModifiedBy>Un-named</cp:lastModifiedBy>
  <cp:revision>1</cp:revision>
  <dcterms:created xsi:type="dcterms:W3CDTF">2026-05-10T23:27:28.816Z</dcterms:created>
  <dcterms:modified xsi:type="dcterms:W3CDTF">2026-05-10T23:27:28.816Z</dcterms:modified>
</cp:coreProperties>
</file>

<file path=docProps/custom.xml><?xml version="1.0" encoding="utf-8"?>
<Properties xmlns="http://schemas.openxmlformats.org/officeDocument/2006/custom-properties" xmlns:vt="http://schemas.openxmlformats.org/officeDocument/2006/docPropsVTypes"/>
</file>